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743EAA92" w:rsidR="000F6D42" w:rsidRPr="00352736" w:rsidRDefault="00E45FC1" w:rsidP="00ED5A54">
      <w:pPr>
        <w:jc w:val="center"/>
        <w:rPr>
          <w:b/>
          <w:sz w:val="28"/>
        </w:rPr>
      </w:pPr>
      <w:r>
        <w:rPr>
          <w:b/>
          <w:sz w:val="28"/>
        </w:rPr>
        <w:t>South Lanarkshire Unintentional Injuries Sub-Group Practice Exemplar</w:t>
      </w:r>
    </w:p>
    <w:p w14:paraId="718D8ECE" w14:textId="77777777" w:rsidR="002F3AAF" w:rsidRPr="00352736" w:rsidRDefault="002F3AAF" w:rsidP="000F6D42"/>
    <w:tbl>
      <w:tblPr>
        <w:tblStyle w:val="TableGrid"/>
        <w:tblW w:w="11057" w:type="dxa"/>
        <w:tblInd w:w="-572" w:type="dxa"/>
        <w:tblLook w:val="04A0" w:firstRow="1" w:lastRow="0" w:firstColumn="1" w:lastColumn="0" w:noHBand="0" w:noVBand="1"/>
      </w:tblPr>
      <w:tblGrid>
        <w:gridCol w:w="5103"/>
        <w:gridCol w:w="5954"/>
      </w:tblGrid>
      <w:tr w:rsidR="00352736" w:rsidRPr="00352736" w14:paraId="6216729B" w14:textId="77777777" w:rsidTr="002F3AAF">
        <w:tc>
          <w:tcPr>
            <w:tcW w:w="11057" w:type="dxa"/>
            <w:gridSpan w:val="2"/>
            <w:shd w:val="clear" w:color="auto" w:fill="E7E6E6" w:themeFill="background2"/>
          </w:tcPr>
          <w:p w14:paraId="39C1FD12" w14:textId="77777777" w:rsidR="000F6D42" w:rsidRPr="00352736" w:rsidRDefault="000F6D42" w:rsidP="00FC387A">
            <w:pPr>
              <w:rPr>
                <w:b/>
                <w:sz w:val="22"/>
              </w:rPr>
            </w:pPr>
            <w:r w:rsidRPr="00352736">
              <w:rPr>
                <w:b/>
                <w:sz w:val="28"/>
              </w:rPr>
              <w:t>Name and Timescales</w:t>
            </w:r>
          </w:p>
        </w:tc>
      </w:tr>
      <w:tr w:rsidR="00352736" w:rsidRPr="00352736" w14:paraId="1D3CB6FF" w14:textId="77777777" w:rsidTr="00E45FC1">
        <w:trPr>
          <w:trHeight w:val="336"/>
        </w:trPr>
        <w:tc>
          <w:tcPr>
            <w:tcW w:w="11057" w:type="dxa"/>
            <w:gridSpan w:val="2"/>
          </w:tcPr>
          <w:p w14:paraId="76510514" w14:textId="0D515735" w:rsidR="00641E39" w:rsidRPr="00352736" w:rsidRDefault="00E45FC1" w:rsidP="00E45FC1">
            <w:pPr>
              <w:pStyle w:val="ListParagraph"/>
              <w:ind w:left="0"/>
            </w:pPr>
            <w:r>
              <w:t xml:space="preserve">The </w:t>
            </w:r>
            <w:r w:rsidR="0076203B" w:rsidRPr="00E45FC1">
              <w:t>Unintentional Injury Sub-Group</w:t>
            </w:r>
            <w:r w:rsidR="00641E39" w:rsidRPr="00E45FC1">
              <w:t xml:space="preserve"> (UI Sub-Group)</w:t>
            </w:r>
            <w:r>
              <w:t xml:space="preserve"> was launched in January 2017 and is an ongoing.</w:t>
            </w:r>
          </w:p>
        </w:tc>
      </w:tr>
      <w:tr w:rsidR="00352736" w:rsidRPr="00352736" w14:paraId="1C831024" w14:textId="77777777" w:rsidTr="002F3AAF">
        <w:tc>
          <w:tcPr>
            <w:tcW w:w="11057" w:type="dxa"/>
            <w:gridSpan w:val="2"/>
            <w:shd w:val="clear" w:color="auto" w:fill="E7E6E6" w:themeFill="background2"/>
          </w:tcPr>
          <w:p w14:paraId="3D450950" w14:textId="77777777" w:rsidR="000F6D42" w:rsidRPr="00352736" w:rsidRDefault="000F6D42" w:rsidP="00FC387A">
            <w:pPr>
              <w:rPr>
                <w:b/>
                <w:sz w:val="28"/>
              </w:rPr>
            </w:pPr>
            <w:r w:rsidRPr="00352736">
              <w:rPr>
                <w:b/>
                <w:sz w:val="28"/>
              </w:rPr>
              <w:t xml:space="preserve">Summary </w:t>
            </w:r>
          </w:p>
        </w:tc>
      </w:tr>
      <w:tr w:rsidR="00352736" w:rsidRPr="00352736" w14:paraId="37604A72" w14:textId="77777777" w:rsidTr="002F3AAF">
        <w:trPr>
          <w:trHeight w:val="1067"/>
        </w:trPr>
        <w:tc>
          <w:tcPr>
            <w:tcW w:w="11057" w:type="dxa"/>
            <w:gridSpan w:val="2"/>
          </w:tcPr>
          <w:p w14:paraId="6E24697E" w14:textId="2461FB00" w:rsidR="00FB0054" w:rsidRPr="00352736" w:rsidRDefault="00641E39" w:rsidP="00E45FC1">
            <w:pPr>
              <w:jc w:val="both"/>
              <w:rPr>
                <w:rFonts w:cs="Arial"/>
              </w:rPr>
            </w:pPr>
            <w:r w:rsidRPr="00352736">
              <w:rPr>
                <w:rFonts w:cs="Arial"/>
              </w:rPr>
              <w:t xml:space="preserve">The </w:t>
            </w:r>
            <w:r w:rsidR="00E45FC1">
              <w:rPr>
                <w:rFonts w:cs="Arial"/>
              </w:rPr>
              <w:t>purpose</w:t>
            </w:r>
            <w:r w:rsidRPr="00352736">
              <w:rPr>
                <w:rFonts w:cs="Arial"/>
              </w:rPr>
              <w:t xml:space="preserve"> of the group is to provide Home Safety equipment and</w:t>
            </w:r>
            <w:r w:rsidR="00FB0054" w:rsidRPr="00352736">
              <w:rPr>
                <w:rFonts w:cs="Arial"/>
              </w:rPr>
              <w:t xml:space="preserve"> education</w:t>
            </w:r>
            <w:r w:rsidRPr="00352736">
              <w:rPr>
                <w:rFonts w:cs="Arial"/>
              </w:rPr>
              <w:t>, as i</w:t>
            </w:r>
            <w:r w:rsidR="00FB0054" w:rsidRPr="00352736">
              <w:rPr>
                <w:rFonts w:cs="Arial"/>
              </w:rPr>
              <w:t>nformation and advice are</w:t>
            </w:r>
            <w:r w:rsidRPr="00352736">
              <w:rPr>
                <w:rFonts w:cs="Arial"/>
              </w:rPr>
              <w:t xml:space="preserve"> the most</w:t>
            </w:r>
            <w:r w:rsidR="00FB0054" w:rsidRPr="00352736">
              <w:rPr>
                <w:rFonts w:cs="Arial"/>
              </w:rPr>
              <w:t xml:space="preserve"> effective </w:t>
            </w:r>
            <w:r w:rsidRPr="00352736">
              <w:rPr>
                <w:rFonts w:cs="Arial"/>
              </w:rPr>
              <w:t xml:space="preserve">way to </w:t>
            </w:r>
            <w:r w:rsidR="00FB0054" w:rsidRPr="00352736">
              <w:rPr>
                <w:rFonts w:cs="Arial"/>
              </w:rPr>
              <w:t xml:space="preserve">increasing safety practice and reducing unintentional injuries in </w:t>
            </w:r>
            <w:r w:rsidRPr="00352736">
              <w:rPr>
                <w:rFonts w:cs="Arial"/>
              </w:rPr>
              <w:t xml:space="preserve">and around </w:t>
            </w:r>
            <w:r w:rsidR="00FB0054" w:rsidRPr="00352736">
              <w:rPr>
                <w:rFonts w:cs="Arial"/>
              </w:rPr>
              <w:t>the home.</w:t>
            </w:r>
          </w:p>
          <w:p w14:paraId="2C9EFBF3" w14:textId="77777777" w:rsidR="00641E39" w:rsidRPr="00352736" w:rsidRDefault="00641E39" w:rsidP="00FB0054">
            <w:pPr>
              <w:jc w:val="both"/>
              <w:rPr>
                <w:rFonts w:cs="Arial"/>
              </w:rPr>
            </w:pPr>
          </w:p>
          <w:p w14:paraId="1030B36E" w14:textId="79AF82E3" w:rsidR="00641E39" w:rsidRPr="00E45FC1" w:rsidRDefault="00C00C10" w:rsidP="00E45FC1">
            <w:pPr>
              <w:jc w:val="both"/>
              <w:rPr>
                <w:rFonts w:cs="Arial"/>
              </w:rPr>
            </w:pPr>
            <w:r w:rsidRPr="00352736">
              <w:rPr>
                <w:rFonts w:cs="Arial"/>
              </w:rPr>
              <w:t xml:space="preserve">The </w:t>
            </w:r>
            <w:r w:rsidR="00641E39" w:rsidRPr="00352736">
              <w:rPr>
                <w:rFonts w:cs="Arial"/>
              </w:rPr>
              <w:t>S</w:t>
            </w:r>
            <w:r w:rsidR="00E45FC1">
              <w:rPr>
                <w:rFonts w:cs="Arial"/>
              </w:rPr>
              <w:t>cottish Fire and Rescue Service (SFRS) i</w:t>
            </w:r>
            <w:r w:rsidRPr="00352736">
              <w:rPr>
                <w:rFonts w:cs="Arial"/>
              </w:rPr>
              <w:t xml:space="preserve">n South Lanarkshire chairs the </w:t>
            </w:r>
            <w:r w:rsidR="00E45FC1">
              <w:rPr>
                <w:rFonts w:cs="Arial"/>
              </w:rPr>
              <w:t>UI</w:t>
            </w:r>
            <w:r w:rsidRPr="00352736">
              <w:rPr>
                <w:rFonts w:cs="Arial"/>
              </w:rPr>
              <w:t xml:space="preserve"> Sub-Group.</w:t>
            </w:r>
            <w:r w:rsidR="00E45FC1">
              <w:rPr>
                <w:rFonts w:cs="Arial"/>
              </w:rPr>
              <w:t xml:space="preserve">  </w:t>
            </w:r>
            <w:r w:rsidR="00641E39" w:rsidRPr="00352736">
              <w:rPr>
                <w:rFonts w:cs="Arial"/>
              </w:rPr>
              <w:t>The</w:t>
            </w:r>
            <w:r w:rsidR="009A5F26" w:rsidRPr="00352736">
              <w:rPr>
                <w:rFonts w:cs="Arial"/>
              </w:rPr>
              <w:t xml:space="preserve"> </w:t>
            </w:r>
            <w:r w:rsidR="00E45FC1">
              <w:rPr>
                <w:rFonts w:cs="Arial"/>
              </w:rPr>
              <w:t xml:space="preserve">partnership </w:t>
            </w:r>
            <w:r w:rsidR="009A5F26" w:rsidRPr="00352736">
              <w:rPr>
                <w:rFonts w:cs="Arial"/>
              </w:rPr>
              <w:t xml:space="preserve">group consists of </w:t>
            </w:r>
            <w:r w:rsidR="00641E39" w:rsidRPr="00352736">
              <w:rPr>
                <w:rFonts w:cs="Arial"/>
              </w:rPr>
              <w:t xml:space="preserve">senior </w:t>
            </w:r>
            <w:r w:rsidR="009A5F26" w:rsidRPr="00352736">
              <w:rPr>
                <w:rFonts w:cs="Arial"/>
              </w:rPr>
              <w:t>r</w:t>
            </w:r>
            <w:r w:rsidR="00FB0054" w:rsidRPr="00352736">
              <w:rPr>
                <w:rFonts w:cs="Arial"/>
              </w:rPr>
              <w:t>epresentatives fr</w:t>
            </w:r>
            <w:r w:rsidR="00E45FC1">
              <w:rPr>
                <w:rFonts w:cs="Arial"/>
              </w:rPr>
              <w:t xml:space="preserve">om the following organisations:  </w:t>
            </w:r>
            <w:r w:rsidR="00FB0054" w:rsidRPr="00352736">
              <w:rPr>
                <w:rFonts w:cs="Arial"/>
              </w:rPr>
              <w:t xml:space="preserve">Scottish </w:t>
            </w:r>
            <w:r w:rsidR="00E45FC1">
              <w:rPr>
                <w:rFonts w:cs="Arial"/>
              </w:rPr>
              <w:t xml:space="preserve">Fire and Rescue Service (Chair), </w:t>
            </w:r>
            <w:r w:rsidR="00FB0054" w:rsidRPr="00352736">
              <w:rPr>
                <w:rFonts w:cs="Arial"/>
              </w:rPr>
              <w:t>Police Scotland</w:t>
            </w:r>
            <w:r w:rsidR="00E45FC1">
              <w:rPr>
                <w:rFonts w:cs="Arial"/>
              </w:rPr>
              <w:t xml:space="preserve">, </w:t>
            </w:r>
            <w:r w:rsidR="00FB0054" w:rsidRPr="00352736">
              <w:rPr>
                <w:rFonts w:cs="Arial"/>
              </w:rPr>
              <w:t>S</w:t>
            </w:r>
            <w:r w:rsidR="00E45FC1">
              <w:rPr>
                <w:rFonts w:cs="Arial"/>
              </w:rPr>
              <w:t xml:space="preserve">outh </w:t>
            </w:r>
            <w:r w:rsidR="00FB0054" w:rsidRPr="00352736">
              <w:rPr>
                <w:rFonts w:cs="Arial"/>
              </w:rPr>
              <w:t>L</w:t>
            </w:r>
            <w:r w:rsidR="00E45FC1">
              <w:rPr>
                <w:rFonts w:cs="Arial"/>
              </w:rPr>
              <w:t xml:space="preserve">anarkshire </w:t>
            </w:r>
            <w:r w:rsidR="00FB0054" w:rsidRPr="00352736">
              <w:rPr>
                <w:rFonts w:cs="Arial"/>
              </w:rPr>
              <w:t>C</w:t>
            </w:r>
            <w:r w:rsidR="00E45FC1">
              <w:rPr>
                <w:rFonts w:cs="Arial"/>
              </w:rPr>
              <w:t xml:space="preserve">ouncil (SLC) Social Work Resources, </w:t>
            </w:r>
            <w:r w:rsidR="00FB0054" w:rsidRPr="00352736">
              <w:rPr>
                <w:rFonts w:cs="Arial"/>
              </w:rPr>
              <w:t xml:space="preserve">SLC </w:t>
            </w:r>
            <w:r w:rsidR="00E45FC1">
              <w:rPr>
                <w:rFonts w:cs="Arial"/>
              </w:rPr>
              <w:t xml:space="preserve">Housing and Technical Resources, </w:t>
            </w:r>
            <w:r w:rsidR="00FB0054" w:rsidRPr="00352736">
              <w:rPr>
                <w:rFonts w:cs="Arial"/>
              </w:rPr>
              <w:t>Care and Repair South Lanarkshire</w:t>
            </w:r>
            <w:r w:rsidR="00E45FC1">
              <w:rPr>
                <w:rFonts w:cs="Arial"/>
              </w:rPr>
              <w:t xml:space="preserve">, </w:t>
            </w:r>
            <w:r w:rsidR="00FB0054" w:rsidRPr="00352736">
              <w:rPr>
                <w:rFonts w:cs="Arial"/>
              </w:rPr>
              <w:t>NHS Lanarkshire</w:t>
            </w:r>
            <w:r w:rsidR="00E45FC1">
              <w:rPr>
                <w:rFonts w:cs="Arial"/>
              </w:rPr>
              <w:t xml:space="preserve">, </w:t>
            </w:r>
            <w:r w:rsidR="00FB0054" w:rsidRPr="00352736">
              <w:rPr>
                <w:rFonts w:cs="Arial"/>
              </w:rPr>
              <w:t>SLC Education</w:t>
            </w:r>
            <w:r w:rsidR="00E45FC1">
              <w:rPr>
                <w:rFonts w:cs="Arial"/>
              </w:rPr>
              <w:t xml:space="preserve">, </w:t>
            </w:r>
            <w:r w:rsidR="00FB0054" w:rsidRPr="00352736">
              <w:rPr>
                <w:rFonts w:cs="Arial"/>
              </w:rPr>
              <w:t>SLC Seniors Together</w:t>
            </w:r>
            <w:r w:rsidR="00E45FC1">
              <w:rPr>
                <w:rFonts w:cs="Arial"/>
              </w:rPr>
              <w:t xml:space="preserve">, </w:t>
            </w:r>
            <w:r w:rsidR="00FB0054" w:rsidRPr="00352736">
              <w:rPr>
                <w:rFonts w:cs="Arial"/>
              </w:rPr>
              <w:t>Voluntary Action South Lanarkshire</w:t>
            </w:r>
            <w:r w:rsidR="00E45FC1">
              <w:rPr>
                <w:rFonts w:cs="Arial"/>
              </w:rPr>
              <w:t xml:space="preserve">, </w:t>
            </w:r>
            <w:r w:rsidR="00FB0054" w:rsidRPr="00352736">
              <w:rPr>
                <w:rFonts w:cs="Arial"/>
              </w:rPr>
              <w:t>Scottish Ambulance Service</w:t>
            </w:r>
            <w:r w:rsidR="00E45FC1">
              <w:rPr>
                <w:rFonts w:cs="Arial"/>
              </w:rPr>
              <w:t xml:space="preserve"> and </w:t>
            </w:r>
            <w:r w:rsidR="00FB0054" w:rsidRPr="00352736">
              <w:rPr>
                <w:rFonts w:cs="Arial"/>
              </w:rPr>
              <w:t>Royal Society for the Prevention of Accidents</w:t>
            </w:r>
            <w:r w:rsidR="00E45FC1">
              <w:rPr>
                <w:rFonts w:cs="Arial"/>
              </w:rPr>
              <w:t xml:space="preserve">.  </w:t>
            </w:r>
            <w:r w:rsidR="00641E39" w:rsidRPr="00352736">
              <w:rPr>
                <w:rFonts w:cs="Arial"/>
              </w:rPr>
              <w:t>The representatives who sit on the group have the capacity to make decisions at meetings on behalf of their organisation.</w:t>
            </w:r>
          </w:p>
        </w:tc>
      </w:tr>
      <w:tr w:rsidR="00352736" w:rsidRPr="00352736" w14:paraId="29906B9F" w14:textId="77777777" w:rsidTr="002F3AAF">
        <w:tc>
          <w:tcPr>
            <w:tcW w:w="11057" w:type="dxa"/>
            <w:gridSpan w:val="2"/>
            <w:shd w:val="clear" w:color="auto" w:fill="E7E6E6" w:themeFill="background2"/>
          </w:tcPr>
          <w:p w14:paraId="0414B5D5" w14:textId="77777777" w:rsidR="000F6D42" w:rsidRPr="00352736" w:rsidRDefault="00AF760A" w:rsidP="00FC387A">
            <w:pPr>
              <w:rPr>
                <w:b/>
                <w:sz w:val="28"/>
              </w:rPr>
            </w:pPr>
            <w:r w:rsidRPr="00352736">
              <w:rPr>
                <w:b/>
                <w:sz w:val="28"/>
              </w:rPr>
              <w:t>Need</w:t>
            </w:r>
            <w:r w:rsidR="000F6D42" w:rsidRPr="00352736">
              <w:rPr>
                <w:b/>
                <w:sz w:val="28"/>
              </w:rPr>
              <w:t xml:space="preserve"> </w:t>
            </w:r>
            <w:r w:rsidRPr="00352736">
              <w:rPr>
                <w:b/>
                <w:sz w:val="28"/>
              </w:rPr>
              <w:t xml:space="preserve">for Initiative </w:t>
            </w:r>
          </w:p>
        </w:tc>
      </w:tr>
      <w:tr w:rsidR="00352736" w:rsidRPr="00352736" w14:paraId="7B886FA7" w14:textId="77777777" w:rsidTr="002F3AAF">
        <w:trPr>
          <w:trHeight w:val="706"/>
        </w:trPr>
        <w:tc>
          <w:tcPr>
            <w:tcW w:w="11057" w:type="dxa"/>
            <w:gridSpan w:val="2"/>
          </w:tcPr>
          <w:p w14:paraId="247D71EE" w14:textId="694E92BB" w:rsidR="00641E39" w:rsidRPr="00084C44" w:rsidRDefault="0076203B" w:rsidP="00084C44">
            <w:pPr>
              <w:jc w:val="both"/>
              <w:rPr>
                <w:rFonts w:cs="Arial"/>
              </w:rPr>
            </w:pPr>
            <w:r w:rsidRPr="00352736">
              <w:rPr>
                <w:rFonts w:cs="Arial"/>
              </w:rPr>
              <w:t xml:space="preserve">South Lanarkshire’s Community Safety Partnership Strategic Needs Assessment </w:t>
            </w:r>
            <w:r w:rsidR="00641E39" w:rsidRPr="00352736">
              <w:rPr>
                <w:rFonts w:cs="Arial"/>
              </w:rPr>
              <w:t xml:space="preserve">(SNA) </w:t>
            </w:r>
            <w:r w:rsidRPr="00352736">
              <w:rPr>
                <w:rFonts w:cs="Arial"/>
              </w:rPr>
              <w:t xml:space="preserve">2016/17 identified Unintentional Injuries (UI) as one of five key priorities for the partnership.  The term ‘unintentional injury’ is preferred to ‘accidents’ as the latter implies that events are inevitable and unavoidable whereas a high proportion of these incidents are now regarded as being preventable. </w:t>
            </w:r>
            <w:r w:rsidR="00084C44">
              <w:rPr>
                <w:rFonts w:cs="Arial"/>
              </w:rPr>
              <w:t xml:space="preserve">  </w:t>
            </w:r>
            <w:r w:rsidRPr="00352736">
              <w:rPr>
                <w:rFonts w:cs="Arial"/>
              </w:rPr>
              <w:t xml:space="preserve">Unintentional injuries can occur in any age group, but children and the elderly are </w:t>
            </w:r>
            <w:r w:rsidR="00641E39" w:rsidRPr="00352736">
              <w:rPr>
                <w:rFonts w:cs="Arial"/>
              </w:rPr>
              <w:t>particularly</w:t>
            </w:r>
            <w:r w:rsidRPr="00352736">
              <w:rPr>
                <w:rFonts w:cs="Arial"/>
              </w:rPr>
              <w:t xml:space="preserve"> more vulnerable</w:t>
            </w:r>
            <w:r w:rsidR="00641E39" w:rsidRPr="00352736">
              <w:rPr>
                <w:rFonts w:cs="Arial"/>
              </w:rPr>
              <w:t xml:space="preserve"> to trips and falls</w:t>
            </w:r>
            <w:r w:rsidRPr="00352736">
              <w:rPr>
                <w:rFonts w:cs="Arial"/>
              </w:rPr>
              <w:t xml:space="preserve">. </w:t>
            </w:r>
            <w:r w:rsidR="00084C44">
              <w:rPr>
                <w:rFonts w:cs="Arial"/>
              </w:rPr>
              <w:t xml:space="preserve">  </w:t>
            </w:r>
            <w:r w:rsidR="00C96BE1" w:rsidRPr="00352736">
              <w:rPr>
                <w:rFonts w:cs="Arial"/>
              </w:rPr>
              <w:t xml:space="preserve">In order to ensure there is evidence towards </w:t>
            </w:r>
            <w:r w:rsidR="00C93D9B" w:rsidRPr="00352736">
              <w:rPr>
                <w:rFonts w:cs="Arial"/>
              </w:rPr>
              <w:t>demand reduction and collectively we are meeting strategic outcomes</w:t>
            </w:r>
            <w:r w:rsidR="00641E39" w:rsidRPr="00352736">
              <w:rPr>
                <w:rFonts w:cs="Arial"/>
              </w:rPr>
              <w:t>,</w:t>
            </w:r>
            <w:r w:rsidR="00C93D9B" w:rsidRPr="00352736">
              <w:rPr>
                <w:rFonts w:cs="Arial"/>
              </w:rPr>
              <w:t xml:space="preserve"> there must be a robust method of recording performance.</w:t>
            </w:r>
            <w:r w:rsidR="00084C44">
              <w:rPr>
                <w:rFonts w:cs="Arial"/>
              </w:rPr>
              <w:t xml:space="preserve">  </w:t>
            </w:r>
            <w:r w:rsidR="00641E39" w:rsidRPr="00352736">
              <w:rPr>
                <w:rFonts w:cs="Arial"/>
              </w:rPr>
              <w:t>The</w:t>
            </w:r>
            <w:r w:rsidR="00544EBA" w:rsidRPr="00352736">
              <w:rPr>
                <w:rFonts w:cs="Arial"/>
              </w:rPr>
              <w:t xml:space="preserve"> group </w:t>
            </w:r>
            <w:r w:rsidR="00641E39" w:rsidRPr="00352736">
              <w:rPr>
                <w:rFonts w:cs="Arial"/>
              </w:rPr>
              <w:t>provides</w:t>
            </w:r>
            <w:r w:rsidR="00544EBA" w:rsidRPr="00352736">
              <w:rPr>
                <w:rFonts w:cs="Arial"/>
              </w:rPr>
              <w:t xml:space="preserve"> partners </w:t>
            </w:r>
            <w:r w:rsidR="00641E39" w:rsidRPr="00352736">
              <w:rPr>
                <w:rFonts w:cs="Arial"/>
              </w:rPr>
              <w:t xml:space="preserve">with </w:t>
            </w:r>
            <w:r w:rsidR="00544EBA" w:rsidRPr="00352736">
              <w:rPr>
                <w:rFonts w:cs="Arial"/>
              </w:rPr>
              <w:t>the opportunity to contribute through attendance and accountability by means of action logs</w:t>
            </w:r>
            <w:r w:rsidR="002E20D5" w:rsidRPr="00352736">
              <w:rPr>
                <w:rFonts w:cs="Arial"/>
              </w:rPr>
              <w:t>.</w:t>
            </w:r>
          </w:p>
        </w:tc>
      </w:tr>
      <w:tr w:rsidR="00352736" w:rsidRPr="00352736" w14:paraId="2747C280" w14:textId="77777777" w:rsidTr="002F3AAF">
        <w:trPr>
          <w:trHeight w:val="325"/>
        </w:trPr>
        <w:tc>
          <w:tcPr>
            <w:tcW w:w="11057" w:type="dxa"/>
            <w:gridSpan w:val="2"/>
            <w:shd w:val="clear" w:color="auto" w:fill="E7E6E6" w:themeFill="background2"/>
          </w:tcPr>
          <w:p w14:paraId="3C3062B6" w14:textId="77777777" w:rsidR="00AF760A" w:rsidRPr="00352736" w:rsidRDefault="00AF760A" w:rsidP="00AF760A">
            <w:pPr>
              <w:rPr>
                <w:b/>
              </w:rPr>
            </w:pPr>
            <w:r w:rsidRPr="00352736">
              <w:rPr>
                <w:b/>
                <w:sz w:val="28"/>
              </w:rPr>
              <w:t xml:space="preserve">Aims and Objectives </w:t>
            </w:r>
          </w:p>
        </w:tc>
      </w:tr>
      <w:tr w:rsidR="00352736" w:rsidRPr="00352736" w14:paraId="439596C6" w14:textId="77777777" w:rsidTr="00060CA3">
        <w:trPr>
          <w:trHeight w:val="1683"/>
        </w:trPr>
        <w:tc>
          <w:tcPr>
            <w:tcW w:w="11057" w:type="dxa"/>
            <w:gridSpan w:val="2"/>
          </w:tcPr>
          <w:p w14:paraId="200EC56B" w14:textId="7E77AEC2" w:rsidR="00530644" w:rsidRPr="00352736" w:rsidRDefault="002D13CD" w:rsidP="00530644">
            <w:pPr>
              <w:jc w:val="both"/>
              <w:rPr>
                <w:rFonts w:cs="Arial"/>
              </w:rPr>
            </w:pPr>
            <w:r w:rsidRPr="00352736">
              <w:rPr>
                <w:rFonts w:cs="Arial"/>
              </w:rPr>
              <w:t>The aim of the UI Sub-</w:t>
            </w:r>
            <w:r w:rsidR="00060CA3">
              <w:rPr>
                <w:rFonts w:cs="Arial"/>
              </w:rPr>
              <w:t>G</w:t>
            </w:r>
            <w:r w:rsidR="00530644" w:rsidRPr="00352736">
              <w:rPr>
                <w:rFonts w:cs="Arial"/>
              </w:rPr>
              <w:t>roup is to provide a collaborative and coherent approach to keeping people safe, by coordinating and overseeing the development of the relevant actions as set out within the Community Safety Strategic Framework.</w:t>
            </w:r>
            <w:r w:rsidR="00060CA3">
              <w:rPr>
                <w:rFonts w:cs="Arial"/>
              </w:rPr>
              <w:t xml:space="preserve"> </w:t>
            </w:r>
            <w:r w:rsidR="00530644" w:rsidRPr="00352736">
              <w:rPr>
                <w:rFonts w:cs="Arial"/>
              </w:rPr>
              <w:t xml:space="preserve"> This includes: </w:t>
            </w:r>
          </w:p>
          <w:p w14:paraId="6357B477" w14:textId="1D47D43B" w:rsidR="00641E39" w:rsidRPr="00060CA3" w:rsidRDefault="00641E39" w:rsidP="00060CA3">
            <w:pPr>
              <w:pStyle w:val="ListParagraph"/>
              <w:numPr>
                <w:ilvl w:val="0"/>
                <w:numId w:val="12"/>
              </w:numPr>
              <w:jc w:val="both"/>
              <w:rPr>
                <w:rFonts w:cs="Arial"/>
              </w:rPr>
            </w:pPr>
            <w:r w:rsidRPr="00060CA3">
              <w:rPr>
                <w:rFonts w:cs="Arial"/>
              </w:rPr>
              <w:t>b</w:t>
            </w:r>
            <w:r w:rsidR="00530644" w:rsidRPr="00060CA3">
              <w:rPr>
                <w:rFonts w:cs="Arial"/>
              </w:rPr>
              <w:t xml:space="preserve">ringing relevant partners together to </w:t>
            </w:r>
            <w:r w:rsidRPr="00060CA3">
              <w:rPr>
                <w:rFonts w:cs="Arial"/>
              </w:rPr>
              <w:t>prevent unintentional injuries within South L</w:t>
            </w:r>
            <w:r w:rsidR="00530644" w:rsidRPr="00060CA3">
              <w:rPr>
                <w:rFonts w:cs="Arial"/>
              </w:rPr>
              <w:t xml:space="preserve">anarkshire and </w:t>
            </w:r>
          </w:p>
          <w:p w14:paraId="49EBB96E" w14:textId="276A1664" w:rsidR="00530644" w:rsidRPr="00352736" w:rsidRDefault="00530644" w:rsidP="00060CA3">
            <w:pPr>
              <w:ind w:left="749"/>
              <w:jc w:val="both"/>
              <w:rPr>
                <w:rFonts w:cs="Arial"/>
              </w:rPr>
            </w:pPr>
            <w:r w:rsidRPr="00352736">
              <w:rPr>
                <w:rFonts w:cs="Arial"/>
              </w:rPr>
              <w:t>to develop an approp</w:t>
            </w:r>
            <w:r w:rsidR="00641E39" w:rsidRPr="00352736">
              <w:rPr>
                <w:rFonts w:cs="Arial"/>
              </w:rPr>
              <w:t>riate and coordinated response</w:t>
            </w:r>
          </w:p>
          <w:p w14:paraId="06FD6EF0" w14:textId="1621BD5B" w:rsidR="00544EBA" w:rsidRPr="00060CA3" w:rsidRDefault="00641E39" w:rsidP="00AE308C">
            <w:pPr>
              <w:pStyle w:val="ListParagraph"/>
              <w:numPr>
                <w:ilvl w:val="0"/>
                <w:numId w:val="12"/>
              </w:numPr>
              <w:jc w:val="both"/>
              <w:rPr>
                <w:rFonts w:cs="Arial"/>
              </w:rPr>
            </w:pPr>
            <w:r w:rsidRPr="00060CA3">
              <w:rPr>
                <w:rFonts w:cs="Arial"/>
              </w:rPr>
              <w:t>e</w:t>
            </w:r>
            <w:r w:rsidR="00530644" w:rsidRPr="00060CA3">
              <w:rPr>
                <w:rFonts w:cs="Arial"/>
              </w:rPr>
              <w:t>nsuring effective development, delivery and review of services to prevent unintentional injuries</w:t>
            </w:r>
          </w:p>
        </w:tc>
      </w:tr>
      <w:tr w:rsidR="00352736" w:rsidRPr="00352736" w14:paraId="32749AC9" w14:textId="77777777" w:rsidTr="002F3AAF">
        <w:tc>
          <w:tcPr>
            <w:tcW w:w="11057" w:type="dxa"/>
            <w:gridSpan w:val="2"/>
            <w:shd w:val="clear" w:color="auto" w:fill="E7E6E6" w:themeFill="background2"/>
          </w:tcPr>
          <w:p w14:paraId="5CC5FC80" w14:textId="77777777" w:rsidR="000F6D42" w:rsidRPr="00352736" w:rsidRDefault="000F6D42" w:rsidP="00FC387A">
            <w:pPr>
              <w:pStyle w:val="ListParagraph"/>
              <w:ind w:left="22"/>
              <w:rPr>
                <w:b/>
                <w:sz w:val="22"/>
              </w:rPr>
            </w:pPr>
            <w:r w:rsidRPr="00352736">
              <w:rPr>
                <w:b/>
                <w:sz w:val="28"/>
              </w:rPr>
              <w:t>Delivery</w:t>
            </w:r>
          </w:p>
        </w:tc>
      </w:tr>
      <w:tr w:rsidR="00352736" w:rsidRPr="00352736" w14:paraId="7071D2C7" w14:textId="77777777" w:rsidTr="002F3AAF">
        <w:trPr>
          <w:trHeight w:val="520"/>
        </w:trPr>
        <w:tc>
          <w:tcPr>
            <w:tcW w:w="11057" w:type="dxa"/>
            <w:gridSpan w:val="2"/>
          </w:tcPr>
          <w:p w14:paraId="6B06E71E" w14:textId="77777777" w:rsidR="008C0E00" w:rsidRDefault="00B748E4" w:rsidP="00AE308C">
            <w:pPr>
              <w:pStyle w:val="ListParagraph"/>
              <w:ind w:left="22"/>
            </w:pPr>
            <w:r>
              <w:t>The group meets quarterly to ensure that meetings take place at regular intervals</w:t>
            </w:r>
            <w:r w:rsidR="00826A6C">
              <w:t xml:space="preserve"> and follow a structured, agreed schedule.  Prior to each meeting the agenda is agreed with all attendees to allow people to raise any topics they wish to discuss and have good notice of what to prepare for.  The a</w:t>
            </w:r>
            <w:r w:rsidR="00826A6C" w:rsidRPr="00352736">
              <w:t>genda and other associated papers</w:t>
            </w:r>
            <w:r w:rsidR="00826A6C">
              <w:t xml:space="preserve"> and </w:t>
            </w:r>
            <w:r w:rsidR="00826A6C" w:rsidRPr="00352736">
              <w:t>info</w:t>
            </w:r>
            <w:r w:rsidR="00826A6C">
              <w:t>rmation are</w:t>
            </w:r>
            <w:r w:rsidR="00826A6C" w:rsidRPr="00352736">
              <w:t xml:space="preserve"> distributed 5 days in advance of the meeting.</w:t>
            </w:r>
            <w:r w:rsidR="00826A6C">
              <w:t xml:space="preserve">  </w:t>
            </w:r>
          </w:p>
          <w:p w14:paraId="027E81BB" w14:textId="77777777" w:rsidR="008C0E00" w:rsidRDefault="008C0E00" w:rsidP="00AE308C">
            <w:pPr>
              <w:pStyle w:val="ListParagraph"/>
              <w:ind w:left="22"/>
            </w:pPr>
          </w:p>
          <w:p w14:paraId="69BDEA75" w14:textId="302B13AB" w:rsidR="008C0E00" w:rsidRPr="00352736" w:rsidRDefault="00826A6C" w:rsidP="008C0E00">
            <w:pPr>
              <w:pStyle w:val="ListParagraph"/>
              <w:ind w:left="22"/>
            </w:pPr>
            <w:r>
              <w:t>Any agreed actions to emerge from meetings are added to an Action Log.  This is used rather than a set of minutes so that any required actions are clear and concise.</w:t>
            </w:r>
            <w:r w:rsidR="008C0E00">
              <w:t xml:space="preserve">  </w:t>
            </w:r>
            <w:r w:rsidR="008C0E00" w:rsidRPr="00352736">
              <w:t xml:space="preserve">Mid-quarter updates are </w:t>
            </w:r>
            <w:r w:rsidR="008C0E00">
              <w:t xml:space="preserve">also </w:t>
            </w:r>
            <w:r w:rsidR="008C0E00" w:rsidRPr="00352736">
              <w:t xml:space="preserve">requested via e-mail with progress on actions points expected in a timely manner. </w:t>
            </w:r>
            <w:r w:rsidR="008C0E00">
              <w:t xml:space="preserve"> </w:t>
            </w:r>
            <w:r w:rsidR="008C0E00" w:rsidRPr="00352736">
              <w:t>This is to include any items for inclusion at the next meeting.</w:t>
            </w:r>
            <w:r w:rsidR="001F4FA9">
              <w:t xml:space="preserve">  </w:t>
            </w:r>
          </w:p>
          <w:p w14:paraId="181E018E" w14:textId="77777777" w:rsidR="00641E39" w:rsidRPr="00352736" w:rsidRDefault="00641E39" w:rsidP="00AE308C">
            <w:pPr>
              <w:pStyle w:val="ListParagraph"/>
              <w:ind w:left="22"/>
            </w:pPr>
          </w:p>
          <w:p w14:paraId="3E62D428" w14:textId="3888B8B2" w:rsidR="000F6D42" w:rsidRPr="008C0E00" w:rsidRDefault="001F4FA9" w:rsidP="00AE308C">
            <w:pPr>
              <w:pStyle w:val="ListParagraph"/>
              <w:ind w:left="22"/>
            </w:pPr>
            <w:r>
              <w:t>The C</w:t>
            </w:r>
            <w:r w:rsidR="002E20D5" w:rsidRPr="00352736">
              <w:t xml:space="preserve">ommunity Safety Strategic Framework reporting template </w:t>
            </w:r>
            <w:r w:rsidR="008C0E00">
              <w:t xml:space="preserve">is used for the group </w:t>
            </w:r>
            <w:r w:rsidR="002E20D5" w:rsidRPr="00352736">
              <w:t>as part of the Performance Management Framework</w:t>
            </w:r>
            <w:r w:rsidR="00ED2B52" w:rsidRPr="00352736">
              <w:t xml:space="preserve"> to ensure consistency across Community Safety Partnership groups.</w:t>
            </w:r>
            <w:r w:rsidR="008C0E00">
              <w:t xml:space="preserve">  </w:t>
            </w:r>
          </w:p>
        </w:tc>
      </w:tr>
      <w:tr w:rsidR="00352736" w:rsidRPr="00352736" w14:paraId="5198C49C" w14:textId="77777777" w:rsidTr="002F3AAF">
        <w:tc>
          <w:tcPr>
            <w:tcW w:w="11057" w:type="dxa"/>
            <w:gridSpan w:val="2"/>
            <w:shd w:val="clear" w:color="auto" w:fill="E7E6E6" w:themeFill="background2"/>
          </w:tcPr>
          <w:p w14:paraId="59B00ABC" w14:textId="77777777" w:rsidR="000F6D42" w:rsidRPr="00352736" w:rsidRDefault="000F6D42" w:rsidP="00FC387A">
            <w:pPr>
              <w:pStyle w:val="ListParagraph"/>
              <w:ind w:left="22"/>
              <w:rPr>
                <w:b/>
                <w:sz w:val="28"/>
              </w:rPr>
            </w:pPr>
            <w:r w:rsidRPr="00352736">
              <w:rPr>
                <w:b/>
                <w:sz w:val="28"/>
              </w:rPr>
              <w:t>Successes and Challenges</w:t>
            </w:r>
          </w:p>
        </w:tc>
      </w:tr>
      <w:tr w:rsidR="00352736" w:rsidRPr="00352736" w14:paraId="6C7495CE" w14:textId="77777777" w:rsidTr="002F3AAF">
        <w:trPr>
          <w:trHeight w:val="614"/>
        </w:trPr>
        <w:tc>
          <w:tcPr>
            <w:tcW w:w="11057" w:type="dxa"/>
            <w:gridSpan w:val="2"/>
            <w:shd w:val="clear" w:color="auto" w:fill="FFFFFF" w:themeFill="background1"/>
          </w:tcPr>
          <w:p w14:paraId="32C6BD41" w14:textId="10E5B9C9" w:rsidR="00DD112E" w:rsidRPr="00352736" w:rsidRDefault="00DD112E" w:rsidP="00FC387A">
            <w:pPr>
              <w:pStyle w:val="ListParagraph"/>
              <w:ind w:left="22"/>
            </w:pPr>
            <w:r w:rsidRPr="00352736">
              <w:t>Success initially has come from the regular attendance of partners and the co</w:t>
            </w:r>
            <w:r w:rsidR="00641E39" w:rsidRPr="00352736">
              <w:t>llective drive to achieve shared outcomes.</w:t>
            </w:r>
            <w:r w:rsidR="001F4FA9">
              <w:t xml:space="preserve">  </w:t>
            </w:r>
            <w:r w:rsidRPr="00352736">
              <w:t xml:space="preserve">Early indications are that the membership of the group has the potential to </w:t>
            </w:r>
            <w:r w:rsidRPr="00352736">
              <w:lastRenderedPageBreak/>
              <w:t xml:space="preserve">change/evolve dependant </w:t>
            </w:r>
            <w:r w:rsidR="005174D8" w:rsidRPr="00352736">
              <w:t>on the objectives</w:t>
            </w:r>
            <w:r w:rsidR="002D13CD" w:rsidRPr="00352736">
              <w:t>/outcomes</w:t>
            </w:r>
            <w:r w:rsidR="005174D8" w:rsidRPr="00352736">
              <w:t xml:space="preserve"> set out in the </w:t>
            </w:r>
            <w:r w:rsidR="002D13CD" w:rsidRPr="00352736">
              <w:t>Community Safety Strategic F</w:t>
            </w:r>
            <w:r w:rsidR="005174D8" w:rsidRPr="00352736">
              <w:t>ramework.</w:t>
            </w:r>
          </w:p>
          <w:p w14:paraId="62E07B5C" w14:textId="77777777" w:rsidR="002D13CD" w:rsidRPr="00352736" w:rsidRDefault="002D13CD" w:rsidP="00FC387A">
            <w:pPr>
              <w:pStyle w:val="ListParagraph"/>
              <w:ind w:left="22"/>
            </w:pPr>
          </w:p>
          <w:p w14:paraId="6CBB673E" w14:textId="188D6D97" w:rsidR="000F6D42" w:rsidRPr="001F4FA9" w:rsidRDefault="00D34B73" w:rsidP="00FC387A">
            <w:pPr>
              <w:pStyle w:val="ListParagraph"/>
              <w:ind w:left="22"/>
            </w:pPr>
            <w:r w:rsidRPr="00352736">
              <w:t>Challenges include</w:t>
            </w:r>
            <w:r w:rsidR="005174D8" w:rsidRPr="00352736">
              <w:t xml:space="preserve"> </w:t>
            </w:r>
            <w:r w:rsidR="00DC3DA8" w:rsidRPr="00352736">
              <w:t xml:space="preserve">identifying appropriate and achievable </w:t>
            </w:r>
            <w:r w:rsidR="002D13CD" w:rsidRPr="00352736">
              <w:t>outcomes</w:t>
            </w:r>
            <w:r w:rsidR="00DC3DA8" w:rsidRPr="00352736">
              <w:t xml:space="preserve"> and building capacity out-with the daily job role.</w:t>
            </w:r>
            <w:r w:rsidR="001F4FA9">
              <w:t xml:space="preserve">  </w:t>
            </w:r>
            <w:r w:rsidR="00DC3DA8" w:rsidRPr="00352736">
              <w:t>Also there should be a conscious effort to avoid a ‘Talking shop’ scen</w:t>
            </w:r>
            <w:r w:rsidR="002D13CD" w:rsidRPr="00352736">
              <w:t xml:space="preserve">ario where nothing is achieved </w:t>
            </w:r>
            <w:r w:rsidR="00DC3DA8" w:rsidRPr="00352736">
              <w:t xml:space="preserve">Hence the need of an Action Log </w:t>
            </w:r>
            <w:r w:rsidR="00B82502" w:rsidRPr="00352736">
              <w:t>to bu</w:t>
            </w:r>
            <w:r w:rsidR="002D13CD" w:rsidRPr="00352736">
              <w:t>ild in an accountability factor</w:t>
            </w:r>
            <w:r w:rsidR="00B82502" w:rsidRPr="00352736">
              <w:t>.</w:t>
            </w:r>
            <w:r w:rsidR="001F4FA9">
              <w:t xml:space="preserve">  </w:t>
            </w:r>
            <w:r w:rsidR="00B82502" w:rsidRPr="00352736">
              <w:t xml:space="preserve">An additional challenge is to establish a link between analysis and objective </w:t>
            </w:r>
            <w:r w:rsidR="001F4FA9">
              <w:t xml:space="preserve">setting.  </w:t>
            </w:r>
            <w:r w:rsidR="00713751" w:rsidRPr="00352736">
              <w:t>A regular m</w:t>
            </w:r>
            <w:r w:rsidR="00810EE0" w:rsidRPr="00352736">
              <w:t>eeting venue</w:t>
            </w:r>
            <w:r w:rsidR="002D13CD" w:rsidRPr="00352736">
              <w:t xml:space="preserve"> along with dates and</w:t>
            </w:r>
            <w:r w:rsidR="003D2350" w:rsidRPr="00352736">
              <w:t xml:space="preserve"> time</w:t>
            </w:r>
            <w:r w:rsidR="002D13CD" w:rsidRPr="00352736">
              <w:t>s has been agreed to ensure</w:t>
            </w:r>
            <w:r w:rsidR="00810EE0" w:rsidRPr="00352736">
              <w:t xml:space="preserve"> continuity</w:t>
            </w:r>
            <w:r w:rsidR="003D2350" w:rsidRPr="00352736">
              <w:t>.</w:t>
            </w:r>
          </w:p>
        </w:tc>
      </w:tr>
      <w:tr w:rsidR="00352736" w:rsidRPr="00352736" w14:paraId="5E3E386F" w14:textId="77777777" w:rsidTr="002F3AAF">
        <w:tc>
          <w:tcPr>
            <w:tcW w:w="11057" w:type="dxa"/>
            <w:gridSpan w:val="2"/>
            <w:shd w:val="clear" w:color="auto" w:fill="E7E6E6" w:themeFill="background2"/>
          </w:tcPr>
          <w:p w14:paraId="4FA3E969" w14:textId="76C2B9E7" w:rsidR="000F6D42" w:rsidRPr="00352736" w:rsidRDefault="00AE308C" w:rsidP="00FC387A">
            <w:pPr>
              <w:pStyle w:val="ListParagraph"/>
              <w:ind w:left="22"/>
              <w:rPr>
                <w:b/>
                <w:sz w:val="28"/>
              </w:rPr>
            </w:pPr>
            <w:r w:rsidRPr="00352736">
              <w:rPr>
                <w:b/>
                <w:sz w:val="28"/>
              </w:rPr>
              <w:lastRenderedPageBreak/>
              <w:t>Impact</w:t>
            </w:r>
            <w:r w:rsidR="007B3419" w:rsidRPr="00352736">
              <w:rPr>
                <w:b/>
                <w:sz w:val="28"/>
              </w:rPr>
              <w:t>/Change</w:t>
            </w:r>
          </w:p>
        </w:tc>
      </w:tr>
      <w:tr w:rsidR="00352736" w:rsidRPr="00352736" w14:paraId="490A9BA1" w14:textId="77777777" w:rsidTr="002F3AAF">
        <w:trPr>
          <w:trHeight w:val="790"/>
        </w:trPr>
        <w:tc>
          <w:tcPr>
            <w:tcW w:w="11057" w:type="dxa"/>
            <w:gridSpan w:val="2"/>
            <w:shd w:val="clear" w:color="auto" w:fill="FFFFFF" w:themeFill="background1"/>
          </w:tcPr>
          <w:p w14:paraId="0EE6D874" w14:textId="0FB7EC17" w:rsidR="002D13CD" w:rsidRPr="00352736" w:rsidRDefault="001F4FA9" w:rsidP="001F4FA9">
            <w:pPr>
              <w:pStyle w:val="ListParagraph"/>
              <w:ind w:left="22"/>
              <w:rPr>
                <w:szCs w:val="24"/>
              </w:rPr>
            </w:pPr>
            <w:r>
              <w:rPr>
                <w:szCs w:val="24"/>
              </w:rPr>
              <w:t xml:space="preserve">The medium and long-term objective of the group is for sustainable reductions in unintentional injury in South Lanarkshire.  </w:t>
            </w:r>
            <w:r w:rsidR="00810EE0" w:rsidRPr="00352736">
              <w:rPr>
                <w:szCs w:val="24"/>
              </w:rPr>
              <w:t>Due to the group</w:t>
            </w:r>
            <w:r w:rsidR="003D2350" w:rsidRPr="00352736">
              <w:rPr>
                <w:szCs w:val="24"/>
              </w:rPr>
              <w:t>’</w:t>
            </w:r>
            <w:r w:rsidR="00810EE0" w:rsidRPr="00352736">
              <w:rPr>
                <w:szCs w:val="24"/>
              </w:rPr>
              <w:t>s relative infancy, there is no cur</w:t>
            </w:r>
            <w:r>
              <w:rPr>
                <w:szCs w:val="24"/>
              </w:rPr>
              <w:t>rent evidence towards reduction.  However it is already being considered how the impact and changes being made by the group will be considered, with f</w:t>
            </w:r>
            <w:r w:rsidR="002D13CD" w:rsidRPr="00352736">
              <w:rPr>
                <w:szCs w:val="24"/>
              </w:rPr>
              <w:t xml:space="preserve">uture analysis by the CSP analyst </w:t>
            </w:r>
            <w:r>
              <w:rPr>
                <w:szCs w:val="24"/>
              </w:rPr>
              <w:t>planned to</w:t>
            </w:r>
            <w:r w:rsidR="002D13CD" w:rsidRPr="00352736">
              <w:rPr>
                <w:szCs w:val="24"/>
              </w:rPr>
              <w:t xml:space="preserve"> help to monitor progress being achieved.</w:t>
            </w:r>
          </w:p>
        </w:tc>
      </w:tr>
      <w:tr w:rsidR="00352736" w:rsidRPr="00352736" w14:paraId="76E200F3" w14:textId="77777777" w:rsidTr="002F3AAF">
        <w:trPr>
          <w:trHeight w:val="329"/>
        </w:trPr>
        <w:tc>
          <w:tcPr>
            <w:tcW w:w="11057" w:type="dxa"/>
            <w:gridSpan w:val="2"/>
            <w:shd w:val="clear" w:color="auto" w:fill="E7E6E6" w:themeFill="background2"/>
          </w:tcPr>
          <w:p w14:paraId="5B701BA9" w14:textId="5256E29B" w:rsidR="00CC3C11" w:rsidRPr="00352736" w:rsidRDefault="007B3419" w:rsidP="00FC387A">
            <w:pPr>
              <w:pStyle w:val="ListParagraph"/>
              <w:ind w:left="22"/>
              <w:rPr>
                <w:b/>
                <w:sz w:val="28"/>
                <w:szCs w:val="24"/>
              </w:rPr>
            </w:pPr>
            <w:r w:rsidRPr="00352736">
              <w:rPr>
                <w:b/>
                <w:sz w:val="28"/>
                <w:szCs w:val="24"/>
              </w:rPr>
              <w:t>Reflections</w:t>
            </w:r>
          </w:p>
        </w:tc>
      </w:tr>
      <w:tr w:rsidR="00352736" w:rsidRPr="00352736" w14:paraId="3AE4A56B" w14:textId="77777777" w:rsidTr="007740C4">
        <w:trPr>
          <w:trHeight w:val="540"/>
        </w:trPr>
        <w:tc>
          <w:tcPr>
            <w:tcW w:w="11057" w:type="dxa"/>
            <w:gridSpan w:val="2"/>
            <w:shd w:val="clear" w:color="auto" w:fill="FFFFFF" w:themeFill="background1"/>
          </w:tcPr>
          <w:p w14:paraId="0493F32D" w14:textId="71DA9159" w:rsidR="00CC3C11" w:rsidRPr="007740C4" w:rsidRDefault="00D34B73" w:rsidP="007B3419">
            <w:pPr>
              <w:pStyle w:val="ListParagraph"/>
              <w:ind w:left="22"/>
              <w:rPr>
                <w:szCs w:val="24"/>
              </w:rPr>
            </w:pPr>
            <w:r w:rsidRPr="00352736">
              <w:rPr>
                <w:szCs w:val="24"/>
              </w:rPr>
              <w:t xml:space="preserve">Key </w:t>
            </w:r>
            <w:r w:rsidR="003D2350" w:rsidRPr="00352736">
              <w:rPr>
                <w:szCs w:val="24"/>
              </w:rPr>
              <w:t xml:space="preserve">data </w:t>
            </w:r>
            <w:r w:rsidRPr="00352736">
              <w:rPr>
                <w:szCs w:val="24"/>
              </w:rPr>
              <w:t xml:space="preserve">analysis is essential </w:t>
            </w:r>
            <w:r w:rsidR="002D13CD" w:rsidRPr="00352736">
              <w:rPr>
                <w:szCs w:val="24"/>
              </w:rPr>
              <w:t>in moving forward</w:t>
            </w:r>
            <w:r w:rsidRPr="00352736">
              <w:rPr>
                <w:szCs w:val="24"/>
              </w:rPr>
              <w:t xml:space="preserve"> to assist </w:t>
            </w:r>
            <w:r w:rsidR="002D13CD" w:rsidRPr="00352736">
              <w:rPr>
                <w:szCs w:val="24"/>
              </w:rPr>
              <w:t xml:space="preserve">identifying those most at risk and the </w:t>
            </w:r>
            <w:r w:rsidRPr="00352736">
              <w:rPr>
                <w:szCs w:val="24"/>
              </w:rPr>
              <w:t xml:space="preserve">targeting </w:t>
            </w:r>
            <w:r w:rsidR="002D13CD" w:rsidRPr="00352736">
              <w:rPr>
                <w:szCs w:val="24"/>
              </w:rPr>
              <w:t xml:space="preserve">of </w:t>
            </w:r>
            <w:r w:rsidRPr="00352736">
              <w:rPr>
                <w:szCs w:val="24"/>
              </w:rPr>
              <w:t>resources.</w:t>
            </w:r>
          </w:p>
        </w:tc>
      </w:tr>
      <w:tr w:rsidR="00352736" w:rsidRPr="00352736" w14:paraId="45FCBD7C" w14:textId="77777777" w:rsidTr="002F3AAF">
        <w:tc>
          <w:tcPr>
            <w:tcW w:w="11057" w:type="dxa"/>
            <w:gridSpan w:val="2"/>
            <w:shd w:val="clear" w:color="auto" w:fill="E7E6E6" w:themeFill="background2"/>
          </w:tcPr>
          <w:p w14:paraId="37013FE3" w14:textId="77777777" w:rsidR="000F6D42" w:rsidRPr="00352736" w:rsidRDefault="000F6D42" w:rsidP="00FC387A">
            <w:pPr>
              <w:pStyle w:val="ListParagraph"/>
              <w:ind w:left="22"/>
              <w:rPr>
                <w:b/>
                <w:sz w:val="28"/>
              </w:rPr>
            </w:pPr>
            <w:r w:rsidRPr="00352736">
              <w:rPr>
                <w:b/>
                <w:sz w:val="28"/>
              </w:rPr>
              <w:t>Additional Information</w:t>
            </w:r>
          </w:p>
        </w:tc>
      </w:tr>
      <w:tr w:rsidR="00352736" w:rsidRPr="00352736" w14:paraId="2B29D0B2" w14:textId="77777777" w:rsidTr="002F3AAF">
        <w:trPr>
          <w:trHeight w:val="628"/>
        </w:trPr>
        <w:tc>
          <w:tcPr>
            <w:tcW w:w="11057" w:type="dxa"/>
            <w:gridSpan w:val="2"/>
            <w:shd w:val="clear" w:color="auto" w:fill="FFFFFF" w:themeFill="background1"/>
          </w:tcPr>
          <w:p w14:paraId="6D88400E" w14:textId="0A6E91A4" w:rsidR="00BB50A1" w:rsidRPr="00352736" w:rsidRDefault="00BB50A1" w:rsidP="0088002A">
            <w:r w:rsidRPr="00352736">
              <w:t xml:space="preserve">Below </w:t>
            </w:r>
            <w:r w:rsidR="007740C4">
              <w:t>are</w:t>
            </w:r>
            <w:r w:rsidRPr="00352736">
              <w:t xml:space="preserve"> </w:t>
            </w:r>
            <w:r w:rsidR="007740C4">
              <w:t xml:space="preserve">some </w:t>
            </w:r>
            <w:r w:rsidRPr="00352736">
              <w:t>examples of current work streams by the U</w:t>
            </w:r>
            <w:r w:rsidR="002D13CD" w:rsidRPr="00352736">
              <w:t>nintentional Injury Sub-</w:t>
            </w:r>
            <w:r w:rsidR="007740C4">
              <w:t>Group:</w:t>
            </w:r>
          </w:p>
          <w:p w14:paraId="3A5E67D9" w14:textId="77777777" w:rsidR="002D13CD" w:rsidRPr="00352736" w:rsidRDefault="002D13CD" w:rsidP="00BB50A1">
            <w:pPr>
              <w:rPr>
                <w:b/>
                <w:u w:val="single"/>
              </w:rPr>
            </w:pPr>
          </w:p>
          <w:p w14:paraId="7CF2F2E5" w14:textId="77777777" w:rsidR="00BB50A1" w:rsidRPr="00352736" w:rsidRDefault="00BB50A1" w:rsidP="00BB50A1">
            <w:pPr>
              <w:rPr>
                <w:b/>
                <w:u w:val="single"/>
              </w:rPr>
            </w:pPr>
            <w:r w:rsidRPr="00352736">
              <w:rPr>
                <w:b/>
                <w:u w:val="single"/>
              </w:rPr>
              <w:t>Community Alarm</w:t>
            </w:r>
          </w:p>
          <w:p w14:paraId="610AAE0A" w14:textId="404BDD08" w:rsidR="00BB50A1" w:rsidRPr="00352736" w:rsidRDefault="00BB50A1" w:rsidP="00BB50A1">
            <w:r w:rsidRPr="00352736">
              <w:t>There are over 4000 Alert call-outs per year relating to falls, however Falls Referrals into the Falls Team do not mirror this statistic.</w:t>
            </w:r>
            <w:r w:rsidR="007740C4">
              <w:t xml:space="preserve">  </w:t>
            </w:r>
            <w:r w:rsidR="002D13CD" w:rsidRPr="00352736">
              <w:t xml:space="preserve">The Chair of the </w:t>
            </w:r>
            <w:r w:rsidRPr="00352736">
              <w:t xml:space="preserve">UI </w:t>
            </w:r>
            <w:r w:rsidR="002D13CD" w:rsidRPr="00352736">
              <w:t xml:space="preserve">Sub-group continues to </w:t>
            </w:r>
            <w:r w:rsidRPr="00352736">
              <w:t xml:space="preserve">engage with </w:t>
            </w:r>
            <w:r w:rsidR="002D13CD" w:rsidRPr="00352736">
              <w:t>the Manager for the Community Alarm project,</w:t>
            </w:r>
            <w:r w:rsidRPr="00352736">
              <w:t xml:space="preserve"> to address a joined-up approach to Alert Call-outs relating to falls to ensure the referral protocols are followed.</w:t>
            </w:r>
            <w:r w:rsidR="007740C4">
              <w:t xml:space="preserve">  </w:t>
            </w:r>
            <w:r w:rsidR="002D13CD" w:rsidRPr="00352736">
              <w:t>It is anticipated that this will</w:t>
            </w:r>
            <w:r w:rsidRPr="00352736">
              <w:t xml:space="preserve"> highlight the number of referrals submitted and determine whether a focus is required to be placed on the referral process for Alert staff.</w:t>
            </w:r>
          </w:p>
          <w:p w14:paraId="71C39C82" w14:textId="6820F6E6" w:rsidR="00BB50A1" w:rsidRPr="00352736" w:rsidRDefault="00BB50A1" w:rsidP="00BB50A1"/>
          <w:p w14:paraId="78581020" w14:textId="748EA994" w:rsidR="00BB50A1" w:rsidRPr="00352736" w:rsidRDefault="007740C4" w:rsidP="00BB50A1">
            <w:pPr>
              <w:rPr>
                <w:b/>
                <w:u w:val="single"/>
              </w:rPr>
            </w:pPr>
            <w:r>
              <w:rPr>
                <w:b/>
                <w:u w:val="single"/>
              </w:rPr>
              <w:t>Regularly H</w:t>
            </w:r>
            <w:r w:rsidR="00BB50A1" w:rsidRPr="00352736">
              <w:rPr>
                <w:b/>
                <w:u w:val="single"/>
              </w:rPr>
              <w:t xml:space="preserve">ighlighting </w:t>
            </w:r>
            <w:r>
              <w:rPr>
                <w:b/>
                <w:u w:val="single"/>
              </w:rPr>
              <w:t>B</w:t>
            </w:r>
            <w:r w:rsidR="00BB50A1" w:rsidRPr="00352736">
              <w:rPr>
                <w:b/>
                <w:u w:val="single"/>
              </w:rPr>
              <w:t xml:space="preserve">est </w:t>
            </w:r>
            <w:r>
              <w:rPr>
                <w:b/>
                <w:u w:val="single"/>
              </w:rPr>
              <w:t>Practice A</w:t>
            </w:r>
            <w:r w:rsidR="00BB50A1" w:rsidRPr="00352736">
              <w:rPr>
                <w:b/>
                <w:u w:val="single"/>
              </w:rPr>
              <w:t xml:space="preserve">mongst UI Partners </w:t>
            </w:r>
          </w:p>
          <w:p w14:paraId="34AB618F" w14:textId="0E23B038" w:rsidR="00BB50A1" w:rsidRPr="00352736" w:rsidRDefault="00BB50A1" w:rsidP="00BB50A1">
            <w:r w:rsidRPr="00352736">
              <w:t xml:space="preserve">Most recently the NHS Falls Team Community Nurse </w:t>
            </w:r>
            <w:r w:rsidR="004C4667">
              <w:t>presented</w:t>
            </w:r>
            <w:r w:rsidRPr="00352736">
              <w:t xml:space="preserve"> a case study to the UI Sub-group that highlighted the effective partnership working between SFRS and </w:t>
            </w:r>
            <w:r w:rsidR="002D13CD" w:rsidRPr="00352736">
              <w:t xml:space="preserve">the </w:t>
            </w:r>
            <w:r w:rsidRPr="00352736">
              <w:t>Falls Team to minimise risk within the home.</w:t>
            </w:r>
            <w:r w:rsidR="002807B1">
              <w:t xml:space="preserve">  </w:t>
            </w:r>
            <w:bookmarkStart w:id="0" w:name="_GoBack"/>
            <w:bookmarkEnd w:id="0"/>
            <w:r w:rsidRPr="00352736">
              <w:t>This case study explained how, following a falls referral from the fire service, follow-up intervention from the falls team</w:t>
            </w:r>
            <w:r w:rsidR="004C4667">
              <w:t>,</w:t>
            </w:r>
            <w:r w:rsidRPr="00352736">
              <w:t xml:space="preserve"> and subsequently other agencies, led to identifying additional vulnerabilities that ultimately put a service user’s life at immediate risk.</w:t>
            </w:r>
            <w:r w:rsidR="004C4667">
              <w:t xml:space="preserve">  </w:t>
            </w:r>
            <w:r w:rsidRPr="00352736">
              <w:t>Without the initial partnership referral this person would not otherwise have been identified in such a timely manner.</w:t>
            </w:r>
          </w:p>
          <w:p w14:paraId="2DCA87A4" w14:textId="77777777" w:rsidR="00BB50A1" w:rsidRPr="00352736" w:rsidRDefault="00BB50A1" w:rsidP="00BB50A1"/>
          <w:p w14:paraId="4DC25D25" w14:textId="77777777" w:rsidR="00BB50A1" w:rsidRPr="00352736" w:rsidRDefault="00BB50A1" w:rsidP="00BB50A1">
            <w:pPr>
              <w:rPr>
                <w:b/>
                <w:u w:val="single"/>
              </w:rPr>
            </w:pPr>
            <w:r w:rsidRPr="00352736">
              <w:rPr>
                <w:b/>
                <w:u w:val="single"/>
              </w:rPr>
              <w:t xml:space="preserve">Event Planning </w:t>
            </w:r>
          </w:p>
          <w:p w14:paraId="192287B0" w14:textId="65EDB3C8" w:rsidR="00BB50A1" w:rsidRPr="00352736" w:rsidRDefault="00BB50A1" w:rsidP="00BB50A1">
            <w:r w:rsidRPr="00352736">
              <w:t>The group is in the process of establishing a series of Roadshow events in order to showcase the partnership</w:t>
            </w:r>
            <w:r w:rsidR="002D13CD" w:rsidRPr="00352736">
              <w:t xml:space="preserve"> aspect of Unintentional Injury and to provide resources and information on how people can keep themselves safe in and around the home.</w:t>
            </w:r>
            <w:r w:rsidR="004C4667">
              <w:t xml:space="preserve">  </w:t>
            </w:r>
            <w:r w:rsidR="002D13CD" w:rsidRPr="00352736">
              <w:t xml:space="preserve">These </w:t>
            </w:r>
            <w:r w:rsidRPr="00352736">
              <w:t>will be a mul</w:t>
            </w:r>
            <w:r w:rsidR="002D13CD" w:rsidRPr="00352736">
              <w:t xml:space="preserve">ti-agency events </w:t>
            </w:r>
            <w:r w:rsidRPr="00352736">
              <w:t>targeting safety for under 5’s and over 65’s.</w:t>
            </w:r>
          </w:p>
          <w:p w14:paraId="38B970BD" w14:textId="77777777" w:rsidR="00BB50A1" w:rsidRPr="00352736" w:rsidRDefault="00BB50A1" w:rsidP="00BB50A1"/>
          <w:p w14:paraId="3D26E21F" w14:textId="77777777" w:rsidR="00BB50A1" w:rsidRPr="00352736" w:rsidRDefault="00BB50A1" w:rsidP="00BB50A1">
            <w:pPr>
              <w:rPr>
                <w:b/>
                <w:u w:val="single"/>
              </w:rPr>
            </w:pPr>
            <w:r w:rsidRPr="00352736">
              <w:rPr>
                <w:b/>
                <w:u w:val="single"/>
              </w:rPr>
              <w:t>Commissioning Bid</w:t>
            </w:r>
          </w:p>
          <w:p w14:paraId="5C43332C" w14:textId="05D48FE0" w:rsidR="00BB50A1" w:rsidRPr="00352736" w:rsidRDefault="00BB50A1" w:rsidP="00BB50A1">
            <w:r w:rsidRPr="00352736">
              <w:t>To help take the work of the group forward</w:t>
            </w:r>
            <w:r w:rsidR="002D13CD" w:rsidRPr="00352736">
              <w:t>,</w:t>
            </w:r>
            <w:r w:rsidRPr="00352736">
              <w:t xml:space="preserve"> the </w:t>
            </w:r>
            <w:r w:rsidR="002D13CD" w:rsidRPr="00352736">
              <w:t>UI Sub-g</w:t>
            </w:r>
            <w:r w:rsidRPr="00352736">
              <w:t xml:space="preserve">roup is looking to purchase Home Safety Equipment to carry out the installation of specific safety equipment for those residents at risk from unintentional injuries/harm in and around their homes.  Funding will also support the design and purchase of promotional materials for </w:t>
            </w:r>
            <w:r w:rsidR="002D13CD" w:rsidRPr="00352736">
              <w:t xml:space="preserve">the </w:t>
            </w:r>
            <w:r w:rsidR="004C4667">
              <w:t xml:space="preserve">events.  </w:t>
            </w:r>
            <w:r w:rsidR="001143E7" w:rsidRPr="00352736">
              <w:t xml:space="preserve">A logic Model </w:t>
            </w:r>
            <w:r w:rsidR="00352736" w:rsidRPr="00352736">
              <w:t>will</w:t>
            </w:r>
            <w:r w:rsidR="001143E7" w:rsidRPr="00352736">
              <w:t xml:space="preserve"> be drawn up to assist with future funding bids.</w:t>
            </w:r>
          </w:p>
          <w:p w14:paraId="190F094F" w14:textId="77777777" w:rsidR="00BB50A1" w:rsidRPr="00352736" w:rsidRDefault="00BB50A1" w:rsidP="00BB50A1"/>
          <w:p w14:paraId="70E4EBDF" w14:textId="77777777" w:rsidR="00BB50A1" w:rsidRPr="00352736" w:rsidRDefault="00BB50A1" w:rsidP="00BB50A1">
            <w:pPr>
              <w:rPr>
                <w:b/>
                <w:u w:val="single"/>
              </w:rPr>
            </w:pPr>
            <w:r w:rsidRPr="00352736">
              <w:rPr>
                <w:b/>
                <w:u w:val="single"/>
              </w:rPr>
              <w:t>ROSPA height charts</w:t>
            </w:r>
          </w:p>
          <w:p w14:paraId="5B8ABEFC" w14:textId="24AB8103" w:rsidR="00BB50A1" w:rsidRPr="00352736" w:rsidRDefault="00BB50A1" w:rsidP="00BB50A1">
            <w:r w:rsidRPr="00352736">
              <w:t>Height charts have now been distributed to partners.</w:t>
            </w:r>
            <w:r w:rsidR="004C4667">
              <w:t xml:space="preserve">  </w:t>
            </w:r>
            <w:r w:rsidRPr="00352736">
              <w:t>An evaluation of this initiative within South Lanarkshire will be conducted after 6 months.</w:t>
            </w:r>
          </w:p>
          <w:p w14:paraId="0BFE059B" w14:textId="20D703B0" w:rsidR="000F6D42" w:rsidRPr="00352736" w:rsidRDefault="000F6D42" w:rsidP="0088002A">
            <w:pPr>
              <w:rPr>
                <w:i/>
              </w:rPr>
            </w:pPr>
          </w:p>
        </w:tc>
      </w:tr>
      <w:tr w:rsidR="00352736" w:rsidRPr="00352736" w14:paraId="4429998F" w14:textId="77777777" w:rsidTr="002F3AAF">
        <w:tc>
          <w:tcPr>
            <w:tcW w:w="11057" w:type="dxa"/>
            <w:gridSpan w:val="2"/>
            <w:shd w:val="clear" w:color="auto" w:fill="E7E6E6" w:themeFill="background2"/>
          </w:tcPr>
          <w:p w14:paraId="7E37F7C7" w14:textId="77777777" w:rsidR="000F6D42" w:rsidRPr="00352736" w:rsidRDefault="000F6D42" w:rsidP="00FC387A">
            <w:pPr>
              <w:pStyle w:val="ListParagraph"/>
              <w:ind w:left="22"/>
              <w:rPr>
                <w:b/>
                <w:sz w:val="28"/>
              </w:rPr>
            </w:pPr>
            <w:r w:rsidRPr="00352736">
              <w:rPr>
                <w:b/>
                <w:sz w:val="28"/>
              </w:rPr>
              <w:lastRenderedPageBreak/>
              <w:t>Author and Contact Details</w:t>
            </w:r>
          </w:p>
        </w:tc>
      </w:tr>
      <w:tr w:rsidR="00060CA3" w:rsidRPr="00352736" w14:paraId="6EF500FC" w14:textId="77777777" w:rsidTr="00060CA3">
        <w:trPr>
          <w:trHeight w:val="678"/>
        </w:trPr>
        <w:tc>
          <w:tcPr>
            <w:tcW w:w="5103" w:type="dxa"/>
            <w:shd w:val="clear" w:color="auto" w:fill="FFFFFF" w:themeFill="background1"/>
          </w:tcPr>
          <w:p w14:paraId="30D6B22D" w14:textId="00AE8802" w:rsidR="00060CA3" w:rsidRPr="00352736" w:rsidRDefault="00060CA3" w:rsidP="00FC387A">
            <w:pPr>
              <w:pStyle w:val="ListParagraph"/>
              <w:ind w:left="22"/>
              <w:rPr>
                <w:b/>
              </w:rPr>
            </w:pPr>
            <w:r w:rsidRPr="00352736">
              <w:rPr>
                <w:b/>
              </w:rPr>
              <w:t xml:space="preserve">Alistair Stewart </w:t>
            </w:r>
          </w:p>
          <w:p w14:paraId="138D6EC5" w14:textId="377E3B12" w:rsidR="00060CA3" w:rsidRPr="00352736" w:rsidRDefault="00060CA3" w:rsidP="00FC387A">
            <w:pPr>
              <w:pStyle w:val="ListParagraph"/>
              <w:ind w:left="22"/>
            </w:pPr>
            <w:r w:rsidRPr="00352736">
              <w:t>Prevention &amp; Protection Manager SFRS South Lanarkshire</w:t>
            </w:r>
          </w:p>
          <w:p w14:paraId="23984347" w14:textId="63BF5030" w:rsidR="00060CA3" w:rsidRPr="00352736" w:rsidRDefault="002807B1" w:rsidP="0072646E">
            <w:pPr>
              <w:rPr>
                <w:lang w:eastAsia="en-GB"/>
              </w:rPr>
            </w:pPr>
            <w:hyperlink r:id="rId7" w:history="1">
              <w:r w:rsidR="00060CA3" w:rsidRPr="00352736">
                <w:rPr>
                  <w:rStyle w:val="Hyperlink"/>
                  <w:color w:val="auto"/>
                  <w:lang w:eastAsia="en-GB"/>
                </w:rPr>
                <w:t>alistair.stewart@firescotland.gov.uk</w:t>
              </w:r>
            </w:hyperlink>
          </w:p>
          <w:p w14:paraId="31C70057" w14:textId="416B3893" w:rsidR="00060CA3" w:rsidRPr="00352736" w:rsidRDefault="00060CA3" w:rsidP="0072646E">
            <w:pPr>
              <w:rPr>
                <w:lang w:eastAsia="en-GB"/>
              </w:rPr>
            </w:pPr>
          </w:p>
        </w:tc>
        <w:tc>
          <w:tcPr>
            <w:tcW w:w="5954" w:type="dxa"/>
            <w:shd w:val="clear" w:color="auto" w:fill="FFFFFF" w:themeFill="background1"/>
          </w:tcPr>
          <w:p w14:paraId="0E8A3CC2" w14:textId="77777777" w:rsidR="00060CA3" w:rsidRPr="00352736" w:rsidRDefault="00060CA3" w:rsidP="00060CA3">
            <w:pPr>
              <w:rPr>
                <w:rFonts w:ascii="Calibri" w:hAnsi="Calibri"/>
                <w:b/>
                <w:sz w:val="22"/>
                <w:lang w:eastAsia="en-GB"/>
              </w:rPr>
            </w:pPr>
            <w:r w:rsidRPr="00352736">
              <w:rPr>
                <w:b/>
                <w:lang w:eastAsia="en-GB"/>
              </w:rPr>
              <w:t>Linda Cunningham</w:t>
            </w:r>
          </w:p>
          <w:p w14:paraId="06568CFB" w14:textId="77777777" w:rsidR="00060CA3" w:rsidRDefault="00060CA3" w:rsidP="00060CA3">
            <w:pPr>
              <w:rPr>
                <w:lang w:eastAsia="en-GB"/>
              </w:rPr>
            </w:pPr>
            <w:r w:rsidRPr="00352736">
              <w:rPr>
                <w:lang w:eastAsia="en-GB"/>
              </w:rPr>
              <w:t>Strategy and Policy Officer (Strategy)</w:t>
            </w:r>
          </w:p>
          <w:p w14:paraId="5A8DC51B" w14:textId="67D8E1AD" w:rsidR="00060CA3" w:rsidRPr="00352736" w:rsidRDefault="00060CA3" w:rsidP="00060CA3">
            <w:pPr>
              <w:rPr>
                <w:lang w:eastAsia="en-GB"/>
              </w:rPr>
            </w:pPr>
            <w:r w:rsidRPr="00352736">
              <w:rPr>
                <w:lang w:eastAsia="en-GB"/>
              </w:rPr>
              <w:t>South Lanarkshire Council</w:t>
            </w:r>
          </w:p>
          <w:p w14:paraId="0BCF7561" w14:textId="77777777" w:rsidR="00060CA3" w:rsidRPr="00352736" w:rsidRDefault="00060CA3" w:rsidP="0072646E">
            <w:pPr>
              <w:rPr>
                <w:lang w:eastAsia="en-GB"/>
              </w:rPr>
            </w:pPr>
            <w:r w:rsidRPr="00352736">
              <w:rPr>
                <w:lang w:eastAsia="en-GB"/>
              </w:rPr>
              <w:t>Housing and Technical Resources</w:t>
            </w:r>
          </w:p>
          <w:p w14:paraId="0AF4DDFE" w14:textId="5DC4D774" w:rsidR="00060CA3" w:rsidRPr="00060CA3" w:rsidRDefault="002807B1" w:rsidP="00060CA3">
            <w:pPr>
              <w:rPr>
                <w:lang w:eastAsia="en-GB"/>
              </w:rPr>
            </w:pPr>
            <w:hyperlink r:id="rId8" w:history="1">
              <w:r w:rsidR="00060CA3" w:rsidRPr="00352736">
                <w:rPr>
                  <w:rStyle w:val="Hyperlink"/>
                  <w:color w:val="auto"/>
                  <w:lang w:eastAsia="en-GB"/>
                </w:rPr>
                <w:t>linda.cunningham2@southlanarkshire.gov.uk</w:t>
              </w:r>
            </w:hyperlink>
          </w:p>
        </w:tc>
      </w:tr>
    </w:tbl>
    <w:p w14:paraId="4833A7BA" w14:textId="77777777" w:rsidR="000F6D42" w:rsidRPr="00352736" w:rsidRDefault="000F6D42" w:rsidP="000F6D42">
      <w:pPr>
        <w:jc w:val="both"/>
      </w:pPr>
    </w:p>
    <w:p w14:paraId="00B65EDE" w14:textId="77777777" w:rsidR="000F6D42" w:rsidRPr="00352736" w:rsidRDefault="000F6D42" w:rsidP="00FF4E58">
      <w:pPr>
        <w:rPr>
          <w:b/>
        </w:rPr>
      </w:pPr>
    </w:p>
    <w:sectPr w:rsidR="000F6D42" w:rsidRPr="00352736"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7A457E5"/>
    <w:multiLevelType w:val="hybridMultilevel"/>
    <w:tmpl w:val="19D2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5306A"/>
    <w:multiLevelType w:val="hybridMultilevel"/>
    <w:tmpl w:val="8866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C6D98"/>
    <w:multiLevelType w:val="hybridMultilevel"/>
    <w:tmpl w:val="E6C0E668"/>
    <w:lvl w:ilvl="0" w:tplc="EA80EC56">
      <w:start w:val="4"/>
      <w:numFmt w:val="decimal"/>
      <w:lvlText w:val="%1."/>
      <w:lvlJc w:val="left"/>
      <w:pPr>
        <w:ind w:left="72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5"/>
  </w:num>
  <w:num w:numId="8">
    <w:abstractNumId w:val="2"/>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60CA3"/>
    <w:rsid w:val="000762DC"/>
    <w:rsid w:val="00084C44"/>
    <w:rsid w:val="000C0CF4"/>
    <w:rsid w:val="000F6D42"/>
    <w:rsid w:val="001143E7"/>
    <w:rsid w:val="00177B79"/>
    <w:rsid w:val="0019352B"/>
    <w:rsid w:val="001D25A8"/>
    <w:rsid w:val="001E7DA6"/>
    <w:rsid w:val="001F4FA9"/>
    <w:rsid w:val="00217017"/>
    <w:rsid w:val="002807B1"/>
    <w:rsid w:val="00281579"/>
    <w:rsid w:val="00296EDD"/>
    <w:rsid w:val="002D13CD"/>
    <w:rsid w:val="002E20D5"/>
    <w:rsid w:val="002F3AAF"/>
    <w:rsid w:val="00306C61"/>
    <w:rsid w:val="00324CB4"/>
    <w:rsid w:val="00352736"/>
    <w:rsid w:val="0037582B"/>
    <w:rsid w:val="003D2350"/>
    <w:rsid w:val="003F4AFD"/>
    <w:rsid w:val="004C4667"/>
    <w:rsid w:val="00510146"/>
    <w:rsid w:val="005174D8"/>
    <w:rsid w:val="00530644"/>
    <w:rsid w:val="00544EBA"/>
    <w:rsid w:val="00594F5D"/>
    <w:rsid w:val="00641E39"/>
    <w:rsid w:val="00664E2A"/>
    <w:rsid w:val="006E6703"/>
    <w:rsid w:val="00713751"/>
    <w:rsid w:val="0072646E"/>
    <w:rsid w:val="0074177E"/>
    <w:rsid w:val="0076203B"/>
    <w:rsid w:val="007740C4"/>
    <w:rsid w:val="00786F0B"/>
    <w:rsid w:val="007B3419"/>
    <w:rsid w:val="00810EE0"/>
    <w:rsid w:val="00826A6C"/>
    <w:rsid w:val="00857548"/>
    <w:rsid w:val="00860F2B"/>
    <w:rsid w:val="0088002A"/>
    <w:rsid w:val="008C0E00"/>
    <w:rsid w:val="008E61B8"/>
    <w:rsid w:val="008E7B55"/>
    <w:rsid w:val="009A5F26"/>
    <w:rsid w:val="009B7615"/>
    <w:rsid w:val="009F64A6"/>
    <w:rsid w:val="00AA1B10"/>
    <w:rsid w:val="00AE308C"/>
    <w:rsid w:val="00AF760A"/>
    <w:rsid w:val="00B23496"/>
    <w:rsid w:val="00B33C58"/>
    <w:rsid w:val="00B51BDC"/>
    <w:rsid w:val="00B561C0"/>
    <w:rsid w:val="00B748E4"/>
    <w:rsid w:val="00B773CE"/>
    <w:rsid w:val="00B82502"/>
    <w:rsid w:val="00BB3AF6"/>
    <w:rsid w:val="00BB50A1"/>
    <w:rsid w:val="00C00C10"/>
    <w:rsid w:val="00C14877"/>
    <w:rsid w:val="00C91823"/>
    <w:rsid w:val="00C93D9B"/>
    <w:rsid w:val="00C96BE1"/>
    <w:rsid w:val="00CA5845"/>
    <w:rsid w:val="00CC3C11"/>
    <w:rsid w:val="00D008AB"/>
    <w:rsid w:val="00D34B73"/>
    <w:rsid w:val="00DC3DA8"/>
    <w:rsid w:val="00DD112E"/>
    <w:rsid w:val="00DF7A91"/>
    <w:rsid w:val="00E26702"/>
    <w:rsid w:val="00E273C6"/>
    <w:rsid w:val="00E45FC1"/>
    <w:rsid w:val="00ED2B52"/>
    <w:rsid w:val="00ED5A54"/>
    <w:rsid w:val="00FA4BC1"/>
    <w:rsid w:val="00FB0054"/>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726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183">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unningham2@southlanarkshire.gov.uk" TargetMode="External"/><Relationship Id="rId3" Type="http://schemas.openxmlformats.org/officeDocument/2006/relationships/numbering" Target="numbering.xml"/><Relationship Id="rId7" Type="http://schemas.openxmlformats.org/officeDocument/2006/relationships/hyperlink" Target="mailto:alistair.stewart@firescotlan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C3F857F-EE14-466E-99BB-AA5900E9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9</cp:revision>
  <dcterms:created xsi:type="dcterms:W3CDTF">2019-03-07T16:56:00Z</dcterms:created>
  <dcterms:modified xsi:type="dcterms:W3CDTF">2019-03-08T11:18:00Z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