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D432" w14:textId="77777777" w:rsidR="000F6D42" w:rsidRDefault="000F6D42" w:rsidP="00ED5A54">
      <w:pPr>
        <w:jc w:val="center"/>
        <w:rPr>
          <w:b/>
          <w:sz w:val="28"/>
        </w:rPr>
      </w:pPr>
      <w:r>
        <w:rPr>
          <w:b/>
          <w:sz w:val="28"/>
        </w:rPr>
        <w:t xml:space="preserve">Practice Exemplar </w:t>
      </w:r>
      <w:r w:rsidRPr="007B6E81">
        <w:rPr>
          <w:b/>
          <w:sz w:val="28"/>
        </w:rPr>
        <w:t>Template</w:t>
      </w:r>
    </w:p>
    <w:p w14:paraId="02EC6EBD" w14:textId="77777777" w:rsidR="000F6D42" w:rsidRDefault="000F6D42" w:rsidP="000F6D42">
      <w:pPr>
        <w:rPr>
          <w:b/>
          <w:sz w:val="28"/>
        </w:rPr>
      </w:pPr>
    </w:p>
    <w:p w14:paraId="436103B4" w14:textId="77777777" w:rsidR="000F6D42" w:rsidRDefault="000F6D42" w:rsidP="00ED5A54">
      <w:pPr>
        <w:ind w:left="-567"/>
      </w:pPr>
      <w:r>
        <w:t xml:space="preserve">Please use this template to structure </w:t>
      </w:r>
      <w:r w:rsidR="00BB3AF6">
        <w:t xml:space="preserve">all </w:t>
      </w:r>
      <w:r>
        <w:t xml:space="preserve">Practice Exemplars, providing as much relevant information as possible.  </w:t>
      </w:r>
    </w:p>
    <w:p w14:paraId="7BD7EF53"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31749D23" w14:textId="77777777" w:rsidTr="002F3AAF">
        <w:tc>
          <w:tcPr>
            <w:tcW w:w="11057" w:type="dxa"/>
            <w:shd w:val="clear" w:color="auto" w:fill="E7E6E6" w:themeFill="background2"/>
          </w:tcPr>
          <w:p w14:paraId="26053951"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71A5F627" w14:textId="77777777" w:rsidTr="002F3AAF">
        <w:trPr>
          <w:trHeight w:val="743"/>
        </w:trPr>
        <w:tc>
          <w:tcPr>
            <w:tcW w:w="11057" w:type="dxa"/>
          </w:tcPr>
          <w:p w14:paraId="2D3C1319" w14:textId="77777777" w:rsidR="00160DEB" w:rsidRDefault="00271112" w:rsidP="002B27A5">
            <w:pPr>
              <w:pStyle w:val="ListParagraph"/>
              <w:ind w:left="0"/>
            </w:pPr>
            <w:r>
              <w:t>Community safety trial project – Living well with dementia – Joint partnership between CMHT/OP and SFRS Motherwell locality.</w:t>
            </w:r>
          </w:p>
          <w:p w14:paraId="74B57DBF" w14:textId="77777777" w:rsidR="002B27A5" w:rsidRPr="00160DEB" w:rsidRDefault="002B27A5" w:rsidP="002B27A5">
            <w:pPr>
              <w:pStyle w:val="ListParagraph"/>
              <w:ind w:left="0"/>
            </w:pPr>
          </w:p>
        </w:tc>
      </w:tr>
      <w:tr w:rsidR="000F6D42" w14:paraId="098AE547" w14:textId="77777777" w:rsidTr="002F3AAF">
        <w:tc>
          <w:tcPr>
            <w:tcW w:w="11057" w:type="dxa"/>
            <w:shd w:val="clear" w:color="auto" w:fill="E7E6E6" w:themeFill="background2"/>
          </w:tcPr>
          <w:p w14:paraId="06E13A6C" w14:textId="77777777" w:rsidR="000F6D42" w:rsidRDefault="000F6D42" w:rsidP="00FC387A">
            <w:pPr>
              <w:rPr>
                <w:b/>
                <w:sz w:val="28"/>
              </w:rPr>
            </w:pPr>
            <w:r w:rsidRPr="007B6E81">
              <w:rPr>
                <w:b/>
                <w:sz w:val="28"/>
              </w:rPr>
              <w:t xml:space="preserve">Summary </w:t>
            </w:r>
          </w:p>
        </w:tc>
      </w:tr>
      <w:tr w:rsidR="000F6D42" w14:paraId="3D5EF8FB" w14:textId="77777777" w:rsidTr="002F3AAF">
        <w:trPr>
          <w:trHeight w:val="1067"/>
        </w:trPr>
        <w:tc>
          <w:tcPr>
            <w:tcW w:w="11057" w:type="dxa"/>
          </w:tcPr>
          <w:p w14:paraId="27ABA963" w14:textId="0228994A" w:rsidR="00160DEB" w:rsidRDefault="00160DEB" w:rsidP="00FC387A">
            <w:r>
              <w:t>This initiative is aimed at those living</w:t>
            </w:r>
            <w:r w:rsidR="002B27A5">
              <w:t xml:space="preserve"> at home </w:t>
            </w:r>
            <w:r>
              <w:t xml:space="preserve">with dementia as well as </w:t>
            </w:r>
            <w:r w:rsidR="00854DAA">
              <w:t xml:space="preserve">other </w:t>
            </w:r>
            <w:r>
              <w:t>people</w:t>
            </w:r>
            <w:r w:rsidR="005F33B3">
              <w:t xml:space="preserve"> who are undergoing memory assessment</w:t>
            </w:r>
            <w:r>
              <w:t xml:space="preserve">.  It is </w:t>
            </w:r>
            <w:r w:rsidR="00854DAA">
              <w:t>a</w:t>
            </w:r>
            <w:r>
              <w:t xml:space="preserve"> </w:t>
            </w:r>
            <w:r w:rsidR="005F33B3">
              <w:t xml:space="preserve">partnership approach </w:t>
            </w:r>
            <w:r>
              <w:t>between the Scottish Fire and Rescue Service (SFRS) and NHS Lanarkshire</w:t>
            </w:r>
            <w:r w:rsidR="005F33B3">
              <w:t>’s</w:t>
            </w:r>
            <w:r w:rsidR="000F4D3A">
              <w:t xml:space="preserve"> community mental health team for older people (CMHT/OP) who are responsible for memory service in Motherwell.</w:t>
            </w:r>
            <w:r w:rsidR="00854DAA">
              <w:t xml:space="preserve"> </w:t>
            </w:r>
            <w:r w:rsidR="00BF6A8D">
              <w:t xml:space="preserve"> </w:t>
            </w:r>
            <w:r w:rsidR="000F4D3A">
              <w:t>This facilitates</w:t>
            </w:r>
            <w:r>
              <w:t xml:space="preserve"> critical delivery of fire safety advice and assistance to older people living in the Motherwell area of North Lanarkshire</w:t>
            </w:r>
            <w:r w:rsidR="00854DAA">
              <w:t xml:space="preserve"> who are living with a ra</w:t>
            </w:r>
            <w:r>
              <w:t>nge of memory difficulties.</w:t>
            </w:r>
            <w:r w:rsidR="000F4D3A">
              <w:t xml:space="preserve"> </w:t>
            </w:r>
            <w:r>
              <w:t xml:space="preserve">  </w:t>
            </w:r>
          </w:p>
          <w:p w14:paraId="7F8E0344" w14:textId="77777777" w:rsidR="00854DAA" w:rsidRDefault="00854DAA" w:rsidP="00FC387A"/>
          <w:p w14:paraId="062052C6" w14:textId="77777777" w:rsidR="00854DAA" w:rsidRPr="00854DAA" w:rsidRDefault="00854DAA" w:rsidP="00854DAA">
            <w:pPr>
              <w:rPr>
                <w:rFonts w:eastAsia="Calibri" w:cs="Arial"/>
              </w:rPr>
            </w:pPr>
            <w:r w:rsidRPr="00854DAA">
              <w:rPr>
                <w:rFonts w:eastAsia="Calibri" w:cs="Arial"/>
              </w:rPr>
              <w:t>When encountering an older</w:t>
            </w:r>
            <w:r w:rsidR="000F4D3A">
              <w:rPr>
                <w:rFonts w:eastAsia="Calibri" w:cs="Arial"/>
              </w:rPr>
              <w:t xml:space="preserve"> adult</w:t>
            </w:r>
            <w:r w:rsidRPr="00854DAA">
              <w:rPr>
                <w:rFonts w:eastAsia="Calibri" w:cs="Arial"/>
              </w:rPr>
              <w:t xml:space="preserve"> in</w:t>
            </w:r>
            <w:r w:rsidR="000F4D3A">
              <w:rPr>
                <w:rFonts w:eastAsia="Calibri" w:cs="Arial"/>
              </w:rPr>
              <w:t xml:space="preserve"> the</w:t>
            </w:r>
            <w:r w:rsidRPr="00854DAA">
              <w:rPr>
                <w:rFonts w:eastAsia="Calibri" w:cs="Arial"/>
              </w:rPr>
              <w:t xml:space="preserve"> Motherwell</w:t>
            </w:r>
            <w:r w:rsidR="000F4D3A">
              <w:rPr>
                <w:rFonts w:eastAsia="Calibri" w:cs="Arial"/>
              </w:rPr>
              <w:t xml:space="preserve"> locality</w:t>
            </w:r>
            <w:r w:rsidRPr="00854DAA">
              <w:rPr>
                <w:rFonts w:eastAsia="Calibri" w:cs="Arial"/>
              </w:rPr>
              <w:t xml:space="preserve">, at an incident or </w:t>
            </w:r>
            <w:r>
              <w:rPr>
                <w:rFonts w:eastAsia="Calibri" w:cs="Arial"/>
              </w:rPr>
              <w:t xml:space="preserve">whilst carrying out other </w:t>
            </w:r>
            <w:r w:rsidRPr="00854DAA">
              <w:rPr>
                <w:rFonts w:eastAsia="Calibri" w:cs="Arial"/>
              </w:rPr>
              <w:t xml:space="preserve">duties, </w:t>
            </w:r>
            <w:r w:rsidR="00467C30">
              <w:rPr>
                <w:rFonts w:eastAsia="Calibri" w:cs="Arial"/>
              </w:rPr>
              <w:t>(</w:t>
            </w:r>
            <w:r w:rsidRPr="00854DAA">
              <w:rPr>
                <w:rFonts w:eastAsia="Calibri" w:cs="Arial"/>
              </w:rPr>
              <w:t xml:space="preserve">who </w:t>
            </w:r>
            <w:r w:rsidR="006D2640">
              <w:rPr>
                <w:rFonts w:eastAsia="Calibri" w:cs="Arial"/>
              </w:rPr>
              <w:t xml:space="preserve">appears to be </w:t>
            </w:r>
            <w:r>
              <w:rPr>
                <w:rFonts w:eastAsia="Calibri" w:cs="Arial"/>
              </w:rPr>
              <w:t xml:space="preserve">exhibiting </w:t>
            </w:r>
            <w:r w:rsidRPr="00854DAA">
              <w:rPr>
                <w:rFonts w:eastAsia="Calibri" w:cs="Arial"/>
              </w:rPr>
              <w:t>behaviour that would suggest they had a memory diffi</w:t>
            </w:r>
            <w:r>
              <w:rPr>
                <w:rFonts w:eastAsia="Calibri" w:cs="Arial"/>
              </w:rPr>
              <w:t>culty or some level of confusion</w:t>
            </w:r>
            <w:r w:rsidR="00467C30">
              <w:rPr>
                <w:rFonts w:eastAsia="Calibri" w:cs="Arial"/>
              </w:rPr>
              <w:t>)</w:t>
            </w:r>
            <w:r>
              <w:rPr>
                <w:rFonts w:eastAsia="Calibri" w:cs="Arial"/>
              </w:rPr>
              <w:t xml:space="preserve">, SFRS personnel </w:t>
            </w:r>
            <w:r w:rsidR="006D2640">
              <w:rPr>
                <w:rFonts w:eastAsia="Calibri" w:cs="Arial"/>
              </w:rPr>
              <w:t xml:space="preserve">are able to directly discuss </w:t>
            </w:r>
            <w:r w:rsidR="000F4D3A">
              <w:rPr>
                <w:rFonts w:eastAsia="Calibri" w:cs="Arial"/>
              </w:rPr>
              <w:t xml:space="preserve">or </w:t>
            </w:r>
            <w:r w:rsidR="00726F71">
              <w:rPr>
                <w:rFonts w:eastAsia="Calibri" w:cs="Arial"/>
              </w:rPr>
              <w:t xml:space="preserve">refer </w:t>
            </w:r>
            <w:r w:rsidR="000F4D3A">
              <w:rPr>
                <w:rFonts w:eastAsia="Calibri" w:cs="Arial"/>
              </w:rPr>
              <w:t xml:space="preserve">this individual to the </w:t>
            </w:r>
            <w:r w:rsidR="00726F71">
              <w:rPr>
                <w:rFonts w:eastAsia="Calibri" w:cs="Arial"/>
              </w:rPr>
              <w:t>memory service nursing staff.</w:t>
            </w:r>
          </w:p>
          <w:p w14:paraId="21142E34" w14:textId="77777777" w:rsidR="00854DAA" w:rsidRPr="00854DAA" w:rsidRDefault="00854DAA" w:rsidP="00FC387A">
            <w:pPr>
              <w:rPr>
                <w:rFonts w:cs="Arial"/>
              </w:rPr>
            </w:pPr>
          </w:p>
          <w:p w14:paraId="1E3D442E" w14:textId="4E64A904" w:rsidR="00854DAA" w:rsidRPr="00854DAA" w:rsidRDefault="00854DAA" w:rsidP="00854DAA">
            <w:pPr>
              <w:rPr>
                <w:rFonts w:eastAsia="Calibri" w:cs="Arial"/>
              </w:rPr>
            </w:pPr>
            <w:r>
              <w:rPr>
                <w:rFonts w:eastAsia="Calibri" w:cs="Arial"/>
              </w:rPr>
              <w:t>Th</w:t>
            </w:r>
            <w:r w:rsidRPr="00854DAA">
              <w:rPr>
                <w:rFonts w:eastAsia="Calibri" w:cs="Arial"/>
              </w:rPr>
              <w:t>is allow</w:t>
            </w:r>
            <w:r w:rsidR="00BF6A8D">
              <w:rPr>
                <w:rFonts w:eastAsia="Calibri" w:cs="Arial"/>
              </w:rPr>
              <w:t>s</w:t>
            </w:r>
            <w:r w:rsidRPr="00854DAA">
              <w:rPr>
                <w:rFonts w:eastAsia="Calibri" w:cs="Arial"/>
              </w:rPr>
              <w:t xml:space="preserve"> the </w:t>
            </w:r>
            <w:r w:rsidR="00D558FD">
              <w:rPr>
                <w:rFonts w:eastAsia="Calibri" w:cs="Arial"/>
              </w:rPr>
              <w:t>m</w:t>
            </w:r>
            <w:r w:rsidRPr="00854DAA">
              <w:rPr>
                <w:rFonts w:eastAsia="Calibri" w:cs="Arial"/>
              </w:rPr>
              <w:t>emory service</w:t>
            </w:r>
            <w:r w:rsidR="00726F71">
              <w:rPr>
                <w:rFonts w:eastAsia="Calibri" w:cs="Arial"/>
              </w:rPr>
              <w:t xml:space="preserve"> staff</w:t>
            </w:r>
            <w:r w:rsidRPr="00854DAA">
              <w:rPr>
                <w:rFonts w:eastAsia="Calibri" w:cs="Arial"/>
              </w:rPr>
              <w:t xml:space="preserve"> to check </w:t>
            </w:r>
            <w:r w:rsidR="006D7374">
              <w:rPr>
                <w:rFonts w:eastAsia="Calibri" w:cs="Arial"/>
              </w:rPr>
              <w:t>if that individual is known to their service</w:t>
            </w:r>
            <w:r w:rsidRPr="00854DAA">
              <w:rPr>
                <w:rFonts w:eastAsia="Calibri" w:cs="Arial"/>
              </w:rPr>
              <w:t xml:space="preserve"> and if so</w:t>
            </w:r>
            <w:r w:rsidR="006D7374">
              <w:rPr>
                <w:rFonts w:eastAsia="Calibri" w:cs="Arial"/>
              </w:rPr>
              <w:t>,</w:t>
            </w:r>
            <w:r w:rsidRPr="00854DAA">
              <w:rPr>
                <w:rFonts w:eastAsia="Calibri" w:cs="Arial"/>
              </w:rPr>
              <w:t xml:space="preserve"> to assess if a review of a person’s care is required. </w:t>
            </w:r>
            <w:r w:rsidR="00D558FD">
              <w:rPr>
                <w:rFonts w:eastAsia="Calibri" w:cs="Arial"/>
              </w:rPr>
              <w:t xml:space="preserve"> </w:t>
            </w:r>
            <w:r w:rsidRPr="00854DAA">
              <w:rPr>
                <w:rFonts w:eastAsia="Calibri" w:cs="Arial"/>
              </w:rPr>
              <w:t>In some cases an incident that SFRS ha</w:t>
            </w:r>
            <w:r w:rsidR="00D558FD">
              <w:rPr>
                <w:rFonts w:eastAsia="Calibri" w:cs="Arial"/>
              </w:rPr>
              <w:t>s</w:t>
            </w:r>
            <w:r w:rsidRPr="00854DAA">
              <w:rPr>
                <w:rFonts w:eastAsia="Calibri" w:cs="Arial"/>
              </w:rPr>
              <w:t xml:space="preserve"> been called to may have </w:t>
            </w:r>
            <w:r w:rsidR="00D558FD">
              <w:rPr>
                <w:rFonts w:eastAsia="Calibri" w:cs="Arial"/>
              </w:rPr>
              <w:t>arisen due to a</w:t>
            </w:r>
            <w:r w:rsidRPr="00854DAA">
              <w:rPr>
                <w:rFonts w:eastAsia="Calibri" w:cs="Arial"/>
              </w:rPr>
              <w:t xml:space="preserve"> person’s condition </w:t>
            </w:r>
            <w:r w:rsidR="00807D94" w:rsidRPr="00854DAA">
              <w:rPr>
                <w:rFonts w:eastAsia="Calibri" w:cs="Arial"/>
              </w:rPr>
              <w:t xml:space="preserve">deteriorating </w:t>
            </w:r>
            <w:r w:rsidR="00807D94">
              <w:rPr>
                <w:rFonts w:eastAsia="Calibri" w:cs="Arial"/>
              </w:rPr>
              <w:t>and</w:t>
            </w:r>
            <w:r w:rsidRPr="00854DAA">
              <w:rPr>
                <w:rFonts w:eastAsia="Calibri" w:cs="Arial"/>
              </w:rPr>
              <w:t xml:space="preserve"> a referral may go some way to </w:t>
            </w:r>
            <w:r w:rsidR="00467C30">
              <w:rPr>
                <w:rFonts w:eastAsia="Calibri" w:cs="Arial"/>
              </w:rPr>
              <w:t xml:space="preserve">putting measures in place to prevent </w:t>
            </w:r>
            <w:r w:rsidRPr="00854DAA">
              <w:rPr>
                <w:rFonts w:eastAsia="Calibri" w:cs="Arial"/>
              </w:rPr>
              <w:t>another similar incident from r</w:t>
            </w:r>
            <w:r w:rsidR="00D558FD">
              <w:rPr>
                <w:rFonts w:eastAsia="Calibri" w:cs="Arial"/>
              </w:rPr>
              <w:t>ecurring.</w:t>
            </w:r>
            <w:r w:rsidRPr="00854DAA">
              <w:rPr>
                <w:rFonts w:eastAsia="Calibri" w:cs="Arial"/>
              </w:rPr>
              <w:t xml:space="preserve"> </w:t>
            </w:r>
          </w:p>
          <w:p w14:paraId="2F6D5089" w14:textId="77777777" w:rsidR="00854DAA" w:rsidRDefault="00854DAA" w:rsidP="00FC387A"/>
          <w:p w14:paraId="0FB7579D" w14:textId="06B4DB4B" w:rsidR="00D558FD" w:rsidRDefault="00467C30" w:rsidP="00854DAA">
            <w:pPr>
              <w:rPr>
                <w:rFonts w:eastAsia="Calibri" w:cs="Arial"/>
              </w:rPr>
            </w:pPr>
            <w:r>
              <w:rPr>
                <w:rFonts w:eastAsia="Calibri" w:cs="Arial"/>
              </w:rPr>
              <w:t xml:space="preserve">It </w:t>
            </w:r>
            <w:r w:rsidR="00D558FD">
              <w:rPr>
                <w:rFonts w:eastAsia="Calibri" w:cs="Arial"/>
              </w:rPr>
              <w:t xml:space="preserve">may </w:t>
            </w:r>
            <w:r>
              <w:rPr>
                <w:rFonts w:eastAsia="Calibri" w:cs="Arial"/>
              </w:rPr>
              <w:t xml:space="preserve">also </w:t>
            </w:r>
            <w:r w:rsidR="00726F71">
              <w:rPr>
                <w:rFonts w:eastAsia="Calibri" w:cs="Arial"/>
              </w:rPr>
              <w:t xml:space="preserve">highlight individuals who may not had received input and </w:t>
            </w:r>
            <w:r w:rsidR="00D9471A">
              <w:rPr>
                <w:rFonts w:eastAsia="Calibri" w:cs="Arial"/>
              </w:rPr>
              <w:t xml:space="preserve">could initiate assessment and </w:t>
            </w:r>
            <w:r w:rsidR="00854DAA" w:rsidRPr="00854DAA">
              <w:rPr>
                <w:rFonts w:eastAsia="Calibri" w:cs="Arial"/>
              </w:rPr>
              <w:t xml:space="preserve">formal diagnosis </w:t>
            </w:r>
            <w:r w:rsidR="00D558FD">
              <w:rPr>
                <w:rFonts w:eastAsia="Calibri" w:cs="Arial"/>
              </w:rPr>
              <w:t xml:space="preserve">to take place </w:t>
            </w:r>
            <w:r w:rsidR="00E87E82">
              <w:rPr>
                <w:rFonts w:eastAsia="Calibri" w:cs="Arial"/>
              </w:rPr>
              <w:t xml:space="preserve">allowing </w:t>
            </w:r>
            <w:r w:rsidR="00854DAA" w:rsidRPr="00854DAA">
              <w:rPr>
                <w:rFonts w:eastAsia="Calibri" w:cs="Arial"/>
              </w:rPr>
              <w:t>earlier access to</w:t>
            </w:r>
            <w:r w:rsidR="00726F71">
              <w:rPr>
                <w:rFonts w:eastAsia="Calibri" w:cs="Arial"/>
              </w:rPr>
              <w:t xml:space="preserve"> treatment and support</w:t>
            </w:r>
            <w:r w:rsidR="00E87E82">
              <w:rPr>
                <w:rFonts w:eastAsia="Calibri" w:cs="Arial"/>
              </w:rPr>
              <w:t>.</w:t>
            </w:r>
            <w:r w:rsidR="00854DAA" w:rsidRPr="00854DAA">
              <w:rPr>
                <w:rFonts w:eastAsia="Calibri" w:cs="Arial"/>
              </w:rPr>
              <w:t xml:space="preserve"> </w:t>
            </w:r>
            <w:r w:rsidR="00D558FD">
              <w:rPr>
                <w:rFonts w:eastAsia="Calibri" w:cs="Arial"/>
              </w:rPr>
              <w:t xml:space="preserve">  </w:t>
            </w:r>
          </w:p>
          <w:p w14:paraId="07A8CC39" w14:textId="77777777" w:rsidR="00D558FD" w:rsidRPr="00854DAA" w:rsidRDefault="00D558FD" w:rsidP="00854DAA">
            <w:pPr>
              <w:rPr>
                <w:rFonts w:eastAsia="Calibri" w:cs="Arial"/>
              </w:rPr>
            </w:pPr>
          </w:p>
          <w:p w14:paraId="71AF644C" w14:textId="634D81BE" w:rsidR="00854DAA" w:rsidRPr="00467C30" w:rsidRDefault="00854DAA" w:rsidP="00854DAA">
            <w:pPr>
              <w:rPr>
                <w:rFonts w:eastAsia="Calibri" w:cs="Arial"/>
                <w:i/>
              </w:rPr>
            </w:pPr>
            <w:r w:rsidRPr="00854DAA">
              <w:rPr>
                <w:rFonts w:eastAsia="Calibri" w:cs="Arial"/>
              </w:rPr>
              <w:t xml:space="preserve">The memory </w:t>
            </w:r>
            <w:r w:rsidR="00D558FD">
              <w:rPr>
                <w:rFonts w:eastAsia="Calibri" w:cs="Arial"/>
              </w:rPr>
              <w:t>s</w:t>
            </w:r>
            <w:r w:rsidR="005E44AB">
              <w:rPr>
                <w:rFonts w:eastAsia="Calibri" w:cs="Arial"/>
              </w:rPr>
              <w:t>ervice had</w:t>
            </w:r>
            <w:r w:rsidRPr="00854DAA">
              <w:rPr>
                <w:rFonts w:eastAsia="Calibri" w:cs="Arial"/>
              </w:rPr>
              <w:t xml:space="preserve"> proposed that to aid and assist crews</w:t>
            </w:r>
            <w:r w:rsidR="00606BB7">
              <w:rPr>
                <w:rFonts w:eastAsia="Calibri" w:cs="Arial"/>
              </w:rPr>
              <w:t xml:space="preserve"> in identifying people </w:t>
            </w:r>
            <w:r w:rsidR="00036342">
              <w:rPr>
                <w:rFonts w:eastAsia="Calibri" w:cs="Arial"/>
              </w:rPr>
              <w:t xml:space="preserve">who have </w:t>
            </w:r>
            <w:r w:rsidR="00606BB7">
              <w:rPr>
                <w:rFonts w:eastAsia="Calibri" w:cs="Arial"/>
              </w:rPr>
              <w:t xml:space="preserve">dementia or </w:t>
            </w:r>
            <w:r w:rsidR="00036342">
              <w:rPr>
                <w:rFonts w:eastAsia="Calibri" w:cs="Arial"/>
              </w:rPr>
              <w:t xml:space="preserve">any </w:t>
            </w:r>
            <w:r w:rsidR="00606BB7">
              <w:rPr>
                <w:rFonts w:eastAsia="Calibri" w:cs="Arial"/>
              </w:rPr>
              <w:t xml:space="preserve">other cognitive impairment, </w:t>
            </w:r>
            <w:r w:rsidRPr="00854DAA">
              <w:rPr>
                <w:rFonts w:eastAsia="Calibri" w:cs="Arial"/>
              </w:rPr>
              <w:t xml:space="preserve">they </w:t>
            </w:r>
            <w:r w:rsidR="005E44AB">
              <w:rPr>
                <w:rFonts w:eastAsia="Calibri" w:cs="Arial"/>
              </w:rPr>
              <w:t>attended</w:t>
            </w:r>
            <w:r w:rsidRPr="00854DAA">
              <w:rPr>
                <w:rFonts w:eastAsia="Calibri" w:cs="Arial"/>
              </w:rPr>
              <w:t xml:space="preserve"> Motherwell </w:t>
            </w:r>
            <w:r w:rsidR="005D6AB3">
              <w:rPr>
                <w:rFonts w:eastAsia="Calibri" w:cs="Arial"/>
              </w:rPr>
              <w:t xml:space="preserve">Community </w:t>
            </w:r>
            <w:r w:rsidR="0088259A">
              <w:rPr>
                <w:rFonts w:eastAsia="Calibri" w:cs="Arial"/>
              </w:rPr>
              <w:t xml:space="preserve">Fire </w:t>
            </w:r>
            <w:r w:rsidRPr="00854DAA">
              <w:rPr>
                <w:rFonts w:eastAsia="Calibri" w:cs="Arial"/>
              </w:rPr>
              <w:t>Station to carry</w:t>
            </w:r>
            <w:r w:rsidR="0088259A">
              <w:rPr>
                <w:rFonts w:eastAsia="Calibri" w:cs="Arial"/>
              </w:rPr>
              <w:t xml:space="preserve"> </w:t>
            </w:r>
            <w:r w:rsidRPr="00854DAA">
              <w:rPr>
                <w:rFonts w:eastAsia="Calibri" w:cs="Arial"/>
              </w:rPr>
              <w:t xml:space="preserve">out </w:t>
            </w:r>
            <w:r w:rsidR="005D1353">
              <w:rPr>
                <w:rFonts w:eastAsia="Calibri" w:cs="Arial"/>
              </w:rPr>
              <w:t>awareness</w:t>
            </w:r>
            <w:r w:rsidRPr="00854DAA">
              <w:rPr>
                <w:rFonts w:eastAsia="Calibri" w:cs="Arial"/>
              </w:rPr>
              <w:t xml:space="preserve"> sessions for each </w:t>
            </w:r>
            <w:r w:rsidR="0088259A">
              <w:rPr>
                <w:rFonts w:eastAsia="Calibri" w:cs="Arial"/>
              </w:rPr>
              <w:t>W</w:t>
            </w:r>
            <w:r w:rsidR="005E595B">
              <w:rPr>
                <w:rFonts w:eastAsia="Calibri" w:cs="Arial"/>
              </w:rPr>
              <w:t xml:space="preserve">atch </w:t>
            </w:r>
            <w:r w:rsidR="00806244">
              <w:rPr>
                <w:rFonts w:eastAsia="Calibri" w:cs="Arial"/>
              </w:rPr>
              <w:t>enabling them to gain invaluable information, advice and support.</w:t>
            </w:r>
          </w:p>
          <w:p w14:paraId="70A79D49" w14:textId="77777777" w:rsidR="00854DAA" w:rsidRPr="00467C30" w:rsidRDefault="00854DAA" w:rsidP="00FC387A">
            <w:pPr>
              <w:rPr>
                <w:i/>
              </w:rPr>
            </w:pPr>
          </w:p>
          <w:p w14:paraId="3F93BAB2" w14:textId="77777777" w:rsidR="000F6D42" w:rsidRDefault="00271112" w:rsidP="00BF6A8D">
            <w:r>
              <w:t>The CMHT/OP staff will embed new practice to ensure all newly diagnosed patients with mild cognitive impairment and dementia (who have consented) will</w:t>
            </w:r>
            <w:r w:rsidR="006D7374">
              <w:t xml:space="preserve"> be offered and those agreeable will receive</w:t>
            </w:r>
            <w:r>
              <w:t xml:space="preserve"> fire safety visit and be added onto</w:t>
            </w:r>
            <w:r w:rsidR="006D7374">
              <w:t xml:space="preserve"> SFRS</w:t>
            </w:r>
            <w:r w:rsidR="00546AF8">
              <w:t xml:space="preserve"> fire safety awareness database to</w:t>
            </w:r>
            <w:r w:rsidR="006D7374">
              <w:t xml:space="preserve"> inform fire officers of any potential difficulties during future visits or</w:t>
            </w:r>
            <w:r w:rsidR="00546AF8">
              <w:t xml:space="preserve"> evacuation.</w:t>
            </w:r>
          </w:p>
          <w:p w14:paraId="3040B4A5" w14:textId="1D00B7B1" w:rsidR="00BF6A8D" w:rsidRPr="003F1F21" w:rsidRDefault="00BF6A8D" w:rsidP="00BF6A8D"/>
        </w:tc>
      </w:tr>
      <w:tr w:rsidR="000F6D42" w14:paraId="093955D4" w14:textId="77777777" w:rsidTr="002F3AAF">
        <w:tc>
          <w:tcPr>
            <w:tcW w:w="11057" w:type="dxa"/>
            <w:shd w:val="clear" w:color="auto" w:fill="E7E6E6" w:themeFill="background2"/>
          </w:tcPr>
          <w:p w14:paraId="4CF25F28"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279803BA" w14:textId="77777777" w:rsidTr="002F3AAF">
        <w:trPr>
          <w:trHeight w:val="706"/>
        </w:trPr>
        <w:tc>
          <w:tcPr>
            <w:tcW w:w="11057" w:type="dxa"/>
          </w:tcPr>
          <w:p w14:paraId="12D8D18F" w14:textId="77777777" w:rsidR="00FB23C1" w:rsidRDefault="00271112" w:rsidP="007B3419">
            <w:r>
              <w:t>Scotland’s first National dem</w:t>
            </w:r>
            <w:r w:rsidR="007B11A4">
              <w:t xml:space="preserve">entia strategy (2010) </w:t>
            </w:r>
            <w:r w:rsidR="00DA3460">
              <w:t xml:space="preserve">cited </w:t>
            </w:r>
            <w:r>
              <w:t xml:space="preserve">the need for closer working with partners in health and social care, statutory, voluntary and private sectors to identify best levers for changing and improving the entire system of dementia care. Two thirds of people who have a diagnosis of dementia currently </w:t>
            </w:r>
            <w:r w:rsidR="00B25D2F">
              <w:t>live at home</w:t>
            </w:r>
            <w:r w:rsidR="007B11A4">
              <w:t xml:space="preserve"> – Alzheimer’s Society (2018) </w:t>
            </w:r>
            <w:r w:rsidR="00DA3460">
              <w:t xml:space="preserve">this highlights </w:t>
            </w:r>
            <w:r w:rsidR="007B11A4">
              <w:t>the important role frontline services have in supporting</w:t>
            </w:r>
            <w:r w:rsidR="00DA3460">
              <w:t xml:space="preserve"> this group of</w:t>
            </w:r>
            <w:r w:rsidR="007B11A4">
              <w:t xml:space="preserve"> vulnerable adults.</w:t>
            </w:r>
            <w:r w:rsidR="00FB23C1">
              <w:t xml:space="preserve">  </w:t>
            </w:r>
          </w:p>
          <w:p w14:paraId="22EC0D87" w14:textId="77777777" w:rsidR="00B25D2F" w:rsidRDefault="00B25D2F" w:rsidP="007B3419"/>
          <w:p w14:paraId="54CFBED2" w14:textId="25A96C51" w:rsidR="002106FD" w:rsidRDefault="00B25D2F" w:rsidP="007B3419">
            <w:r>
              <w:t xml:space="preserve">Initial partnership discussions between CMHT/OP and SFRS staff </w:t>
            </w:r>
            <w:r w:rsidR="00BF6A8D">
              <w:t xml:space="preserve">prior to initiative commencing </w:t>
            </w:r>
            <w:r>
              <w:t>highlighted that poor communication between services often led to a delay in treatment/intervention for people living within the community with a diagnosis of dementia. Home fire safety referrals were made only by memory service staff where potential risk has been highlighted and it was decided that a proactive approach to offering this service to all would facilitate best practice and increase safety outcomes for all.</w:t>
            </w:r>
          </w:p>
          <w:p w14:paraId="40D862C5" w14:textId="77777777" w:rsidR="00F91699" w:rsidRDefault="00F91699" w:rsidP="007B3419"/>
          <w:p w14:paraId="4851E94C" w14:textId="2F6EAE02" w:rsidR="005E595B" w:rsidRDefault="005E595B" w:rsidP="007B3419">
            <w:r>
              <w:t>North Lanarkshire SFRS LSO area recognised th</w:t>
            </w:r>
            <w:r w:rsidR="00BF6A8D">
              <w:t>at this initiative would assist in:</w:t>
            </w:r>
          </w:p>
          <w:p w14:paraId="096FD843" w14:textId="77777777" w:rsidR="00F95806" w:rsidRDefault="00F95806" w:rsidP="007B3419"/>
          <w:p w14:paraId="22C8390A" w14:textId="125262CF" w:rsidR="005E595B" w:rsidRDefault="00BF6A8D" w:rsidP="00AF023B">
            <w:pPr>
              <w:pStyle w:val="ListParagraph"/>
              <w:numPr>
                <w:ilvl w:val="0"/>
                <w:numId w:val="11"/>
              </w:numPr>
            </w:pPr>
            <w:r>
              <w:t>Contributing</w:t>
            </w:r>
            <w:r w:rsidR="00F95806">
              <w:t xml:space="preserve"> towards Scotland’s casualty reduction targets to 2020</w:t>
            </w:r>
            <w:r w:rsidR="00AA35B4">
              <w:t>.</w:t>
            </w:r>
          </w:p>
          <w:p w14:paraId="7640FF09" w14:textId="05379244" w:rsidR="005E595B" w:rsidRDefault="00BF6A8D" w:rsidP="005E595B">
            <w:pPr>
              <w:pStyle w:val="ListParagraph"/>
              <w:numPr>
                <w:ilvl w:val="0"/>
                <w:numId w:val="10"/>
              </w:numPr>
            </w:pPr>
            <w:r>
              <w:t>Reducing</w:t>
            </w:r>
            <w:r w:rsidR="005E595B">
              <w:t xml:space="preserve"> the number of those living at home with dementia from experiencing a fire in their homes</w:t>
            </w:r>
            <w:r w:rsidR="00F95806">
              <w:t xml:space="preserve"> or suffering a fatality</w:t>
            </w:r>
            <w:r w:rsidR="00AA35B4">
              <w:t xml:space="preserve"> – by CMHT/OP streamlining home fire safety referrals.</w:t>
            </w:r>
          </w:p>
          <w:p w14:paraId="3684E445" w14:textId="2BE9F2BF" w:rsidR="005E595B" w:rsidRDefault="00BF6A8D" w:rsidP="00F95806">
            <w:pPr>
              <w:pStyle w:val="ListParagraph"/>
              <w:numPr>
                <w:ilvl w:val="0"/>
                <w:numId w:val="10"/>
              </w:numPr>
            </w:pPr>
            <w:r>
              <w:t>Increasing</w:t>
            </w:r>
            <w:r w:rsidR="00F95806">
              <w:t xml:space="preserve"> awareness of the dangers</w:t>
            </w:r>
            <w:r w:rsidR="005E595B">
              <w:t xml:space="preserve"> </w:t>
            </w:r>
            <w:r w:rsidR="00F95806">
              <w:t>and needs of living with dementia and other cognitive impairment</w:t>
            </w:r>
            <w:r w:rsidR="00AA35B4">
              <w:t>.</w:t>
            </w:r>
          </w:p>
          <w:p w14:paraId="3ADF67A5" w14:textId="66EEBFC9" w:rsidR="00F95806" w:rsidRPr="005E595B" w:rsidRDefault="00BF6A8D" w:rsidP="00BF6A8D">
            <w:pPr>
              <w:pStyle w:val="ListParagraph"/>
              <w:numPr>
                <w:ilvl w:val="0"/>
                <w:numId w:val="10"/>
              </w:numPr>
            </w:pPr>
            <w:r>
              <w:t>Enabling</w:t>
            </w:r>
            <w:r w:rsidR="00AA35B4">
              <w:t xml:space="preserve"> people with cognitive deficit to remain within their own community, within a safe home environment for longer.</w:t>
            </w:r>
          </w:p>
        </w:tc>
      </w:tr>
      <w:tr w:rsidR="00AF760A" w14:paraId="10A48CB1" w14:textId="77777777" w:rsidTr="002F3AAF">
        <w:trPr>
          <w:trHeight w:val="325"/>
        </w:trPr>
        <w:tc>
          <w:tcPr>
            <w:tcW w:w="11057" w:type="dxa"/>
            <w:shd w:val="clear" w:color="auto" w:fill="E7E6E6" w:themeFill="background2"/>
          </w:tcPr>
          <w:p w14:paraId="0DD3C7CC" w14:textId="77777777" w:rsidR="00AF760A" w:rsidRPr="00AF760A" w:rsidRDefault="00AF760A" w:rsidP="00AF760A">
            <w:pPr>
              <w:rPr>
                <w:b/>
              </w:rPr>
            </w:pPr>
            <w:r w:rsidRPr="00AF760A">
              <w:rPr>
                <w:b/>
                <w:sz w:val="28"/>
              </w:rPr>
              <w:lastRenderedPageBreak/>
              <w:t xml:space="preserve">Aims and Objectives </w:t>
            </w:r>
          </w:p>
        </w:tc>
      </w:tr>
      <w:tr w:rsidR="00AF760A" w14:paraId="01EEF3FA" w14:textId="77777777" w:rsidTr="002F3AAF">
        <w:trPr>
          <w:trHeight w:val="495"/>
        </w:trPr>
        <w:tc>
          <w:tcPr>
            <w:tcW w:w="11057" w:type="dxa"/>
          </w:tcPr>
          <w:p w14:paraId="13B622E4" w14:textId="77777777" w:rsidR="00F95806" w:rsidRDefault="00F95806" w:rsidP="00AE308C">
            <w:pPr>
              <w:rPr>
                <w:i/>
                <w:color w:val="FF0000"/>
              </w:rPr>
            </w:pPr>
          </w:p>
          <w:p w14:paraId="4D654E55" w14:textId="1FB4E445" w:rsidR="00F95806" w:rsidRDefault="00F95806" w:rsidP="00AE308C">
            <w:r>
              <w:t>The overall aim is to increase Firefighters and Community Safety Action Teams</w:t>
            </w:r>
            <w:r w:rsidR="00851F8C">
              <w:t>’</w:t>
            </w:r>
            <w:r>
              <w:t xml:space="preserve"> understanding of </w:t>
            </w:r>
            <w:r w:rsidR="00ED453B">
              <w:t xml:space="preserve">someone </w:t>
            </w:r>
            <w:r>
              <w:t>living with dementia</w:t>
            </w:r>
            <w:r w:rsidR="00851F8C">
              <w:t xml:space="preserve"> </w:t>
            </w:r>
            <w:r w:rsidR="00E23D8B">
              <w:t xml:space="preserve">in order that they can seek advice or refer </w:t>
            </w:r>
            <w:r w:rsidR="00851F8C">
              <w:t xml:space="preserve">individuals who </w:t>
            </w:r>
            <w:r w:rsidR="00F91699">
              <w:t xml:space="preserve">are </w:t>
            </w:r>
            <w:r w:rsidR="00DA558D">
              <w:t xml:space="preserve">deemed </w:t>
            </w:r>
            <w:r w:rsidR="00F91699">
              <w:t>at risk to another agency</w:t>
            </w:r>
            <w:r w:rsidR="00E23D8B">
              <w:t xml:space="preserve"> where appropriate</w:t>
            </w:r>
            <w:r w:rsidR="00F91699">
              <w:t>,</w:t>
            </w:r>
            <w:r w:rsidR="00E23D8B">
              <w:t xml:space="preserve"> and facilitate safe evacuation with ad</w:t>
            </w:r>
            <w:r w:rsidR="00DA558D">
              <w:t>vanced knowledge of diagnosis should</w:t>
            </w:r>
            <w:r w:rsidR="00E23D8B">
              <w:t xml:space="preserve"> </w:t>
            </w:r>
            <w:r w:rsidR="00DA558D">
              <w:t>this be</w:t>
            </w:r>
            <w:r w:rsidR="00E23D8B">
              <w:t xml:space="preserve"> necessary. It is anticipated that the number of referrals for home fire safety visits and number of visits delivered to people living with dementia or other cognitive deficit would rise indicating increased uptake of same. Closer partnership working aim</w:t>
            </w:r>
            <w:r w:rsidR="00BF6A8D">
              <w:t>s</w:t>
            </w:r>
            <w:r w:rsidR="00E23D8B">
              <w:t xml:space="preserve"> to reduce vulnerability </w:t>
            </w:r>
            <w:r w:rsidR="00DA558D">
              <w:t>by pro-actively initiating safety outcomes at</w:t>
            </w:r>
            <w:r w:rsidR="006D7374">
              <w:t xml:space="preserve"> the</w:t>
            </w:r>
            <w:r w:rsidR="00DA558D">
              <w:t xml:space="preserve"> earliest opportunity. This would enable people to live safer within their own homes for longer.</w:t>
            </w:r>
            <w:r w:rsidR="001D3BFC">
              <w:t xml:space="preserve"> This is critical to reduce inequalities by achieving the Scottish Governments aim of making Scotland a better, healthier place for everyone , no matter where they live - Scottish Government – Health inequalities (2008)</w:t>
            </w:r>
            <w:r w:rsidR="00BF6A8D">
              <w:t>.</w:t>
            </w:r>
          </w:p>
          <w:p w14:paraId="427AF3FC" w14:textId="77777777" w:rsidR="00F95806" w:rsidRPr="00F95806" w:rsidRDefault="00F95806" w:rsidP="00AE308C"/>
        </w:tc>
      </w:tr>
      <w:tr w:rsidR="000F6D42" w14:paraId="2715FEDE" w14:textId="77777777" w:rsidTr="002F3AAF">
        <w:tc>
          <w:tcPr>
            <w:tcW w:w="11057" w:type="dxa"/>
            <w:shd w:val="clear" w:color="auto" w:fill="E7E6E6" w:themeFill="background2"/>
          </w:tcPr>
          <w:p w14:paraId="471260BD" w14:textId="77777777" w:rsidR="000F6D42" w:rsidRDefault="000F6D42" w:rsidP="00FC387A">
            <w:pPr>
              <w:pStyle w:val="ListParagraph"/>
              <w:ind w:left="22"/>
              <w:rPr>
                <w:b/>
                <w:sz w:val="22"/>
              </w:rPr>
            </w:pPr>
            <w:r>
              <w:rPr>
                <w:b/>
                <w:sz w:val="28"/>
              </w:rPr>
              <w:t>Delivery</w:t>
            </w:r>
            <w:r w:rsidR="00DA558D">
              <w:rPr>
                <w:b/>
                <w:sz w:val="28"/>
              </w:rPr>
              <w:t xml:space="preserve"> </w:t>
            </w:r>
          </w:p>
        </w:tc>
      </w:tr>
      <w:tr w:rsidR="000F6D42" w14:paraId="113556E6" w14:textId="77777777" w:rsidTr="002F3AAF">
        <w:trPr>
          <w:trHeight w:val="520"/>
        </w:trPr>
        <w:tc>
          <w:tcPr>
            <w:tcW w:w="11057" w:type="dxa"/>
          </w:tcPr>
          <w:p w14:paraId="3E420D92" w14:textId="77777777" w:rsidR="00854DAA" w:rsidRDefault="001D3BFC" w:rsidP="00854DAA">
            <w:r>
              <w:t xml:space="preserve">This project aims to deliver clear partnership working between two services and has several delivery aims. </w:t>
            </w:r>
            <w:r w:rsidR="00854DAA">
              <w:t xml:space="preserve">SFRS personnel who encounter an individual </w:t>
            </w:r>
            <w:r w:rsidR="00F95806">
              <w:t>who is exhibiting behaviour or confusion that would suggest they had a memory difficulty or cognitive impairment</w:t>
            </w:r>
            <w:r w:rsidR="00851F8C">
              <w:t xml:space="preserve">, </w:t>
            </w:r>
            <w:r>
              <w:t xml:space="preserve">could contact the CMHT/OP for support and advice. The nursing staff would check if the identified </w:t>
            </w:r>
            <w:r w:rsidR="00854DAA">
              <w:t xml:space="preserve">person </w:t>
            </w:r>
            <w:r>
              <w:t xml:space="preserve">if open to memory service staff </w:t>
            </w:r>
            <w:r w:rsidR="00854DAA">
              <w:t xml:space="preserve">and </w:t>
            </w:r>
            <w:r w:rsidR="00851F8C">
              <w:t>if</w:t>
            </w:r>
            <w:r w:rsidR="00854DAA">
              <w:t xml:space="preserve"> so, </w:t>
            </w:r>
            <w:r w:rsidR="00851F8C">
              <w:t xml:space="preserve">assess </w:t>
            </w:r>
            <w:r w:rsidR="00854DAA">
              <w:t xml:space="preserve">if a review of </w:t>
            </w:r>
            <w:r w:rsidR="00851F8C">
              <w:t>that individual’s</w:t>
            </w:r>
            <w:r w:rsidR="00546AF8">
              <w:t xml:space="preserve"> care is required. </w:t>
            </w:r>
          </w:p>
          <w:p w14:paraId="070F71A2" w14:textId="77777777" w:rsidR="00546AF8" w:rsidRDefault="00546AF8" w:rsidP="00854DAA"/>
          <w:p w14:paraId="76871449" w14:textId="2D163060" w:rsidR="00546AF8" w:rsidRDefault="00ED453B" w:rsidP="00ED453B">
            <w:pPr>
              <w:rPr>
                <w:rFonts w:eastAsia="Calibri" w:cs="Arial"/>
              </w:rPr>
            </w:pPr>
            <w:r>
              <w:rPr>
                <w:rFonts w:eastAsia="Calibri" w:cs="Arial"/>
              </w:rPr>
              <w:t>Currently, for people who are in need or at risk, a form is filled in and submitted to Social Ser</w:t>
            </w:r>
            <w:r w:rsidR="00BF6A8D">
              <w:rPr>
                <w:rFonts w:eastAsia="Calibri" w:cs="Arial"/>
              </w:rPr>
              <w:t>vices by SFRS personnel</w:t>
            </w:r>
            <w:r>
              <w:rPr>
                <w:rFonts w:eastAsia="Calibri" w:cs="Arial"/>
              </w:rPr>
              <w:t xml:space="preserve">. </w:t>
            </w:r>
            <w:r w:rsidRPr="00854DAA">
              <w:rPr>
                <w:rFonts w:eastAsia="Calibri" w:cs="Arial"/>
              </w:rPr>
              <w:t xml:space="preserve"> </w:t>
            </w:r>
            <w:r>
              <w:rPr>
                <w:rFonts w:eastAsia="Calibri" w:cs="Arial"/>
              </w:rPr>
              <w:t>H</w:t>
            </w:r>
            <w:r w:rsidRPr="00854DAA">
              <w:rPr>
                <w:rFonts w:eastAsia="Calibri" w:cs="Arial"/>
              </w:rPr>
              <w:t>owever</w:t>
            </w:r>
            <w:r>
              <w:rPr>
                <w:rFonts w:eastAsia="Calibri" w:cs="Arial"/>
              </w:rPr>
              <w:t>,</w:t>
            </w:r>
            <w:r w:rsidRPr="00854DAA">
              <w:rPr>
                <w:rFonts w:eastAsia="Calibri" w:cs="Arial"/>
              </w:rPr>
              <w:t xml:space="preserve"> following a submission of an AP1 </w:t>
            </w:r>
            <w:r>
              <w:rPr>
                <w:rFonts w:eastAsia="Calibri" w:cs="Arial"/>
              </w:rPr>
              <w:t xml:space="preserve">referral </w:t>
            </w:r>
            <w:r w:rsidRPr="00854DAA">
              <w:rPr>
                <w:rFonts w:eastAsia="Calibri" w:cs="Arial"/>
              </w:rPr>
              <w:t xml:space="preserve">to Social </w:t>
            </w:r>
            <w:r>
              <w:rPr>
                <w:rFonts w:eastAsia="Calibri" w:cs="Arial"/>
              </w:rPr>
              <w:t xml:space="preserve">Services Department, </w:t>
            </w:r>
            <w:r w:rsidRPr="00854DAA">
              <w:rPr>
                <w:rFonts w:eastAsia="Calibri" w:cs="Arial"/>
              </w:rPr>
              <w:t xml:space="preserve">it </w:t>
            </w:r>
            <w:r>
              <w:rPr>
                <w:rFonts w:eastAsia="Calibri" w:cs="Arial"/>
              </w:rPr>
              <w:t>can</w:t>
            </w:r>
            <w:r w:rsidRPr="00854DAA">
              <w:rPr>
                <w:rFonts w:eastAsia="Calibri" w:cs="Arial"/>
              </w:rPr>
              <w:t xml:space="preserve"> </w:t>
            </w:r>
            <w:r>
              <w:rPr>
                <w:rFonts w:eastAsia="Calibri" w:cs="Arial"/>
              </w:rPr>
              <w:t>take u</w:t>
            </w:r>
            <w:r w:rsidRPr="00854DAA">
              <w:rPr>
                <w:rFonts w:eastAsia="Calibri" w:cs="Arial"/>
              </w:rPr>
              <w:t xml:space="preserve">p to 6 weeks before a patient </w:t>
            </w:r>
            <w:r>
              <w:rPr>
                <w:rFonts w:eastAsia="Calibri" w:cs="Arial"/>
              </w:rPr>
              <w:t xml:space="preserve">could be referred </w:t>
            </w:r>
            <w:r w:rsidR="00BF6A8D">
              <w:rPr>
                <w:rFonts w:eastAsia="Calibri" w:cs="Arial"/>
              </w:rPr>
              <w:t>to the Memory Service.  T</w:t>
            </w:r>
            <w:r>
              <w:rPr>
                <w:rFonts w:eastAsia="Calibri" w:cs="Arial"/>
              </w:rPr>
              <w:t>his initi</w:t>
            </w:r>
            <w:r w:rsidR="001D3BFC">
              <w:rPr>
                <w:rFonts w:eastAsia="Calibri" w:cs="Arial"/>
              </w:rPr>
              <w:t>ative</w:t>
            </w:r>
            <w:r w:rsidR="00BF6A8D">
              <w:rPr>
                <w:rFonts w:eastAsia="Calibri" w:cs="Arial"/>
              </w:rPr>
              <w:t xml:space="preserve"> can therefore</w:t>
            </w:r>
            <w:r w:rsidR="001D3BFC">
              <w:rPr>
                <w:rFonts w:eastAsia="Calibri" w:cs="Arial"/>
              </w:rPr>
              <w:t xml:space="preserve"> speed up that process facilitating quicker access and support for this group. </w:t>
            </w:r>
          </w:p>
          <w:p w14:paraId="37223CD1" w14:textId="77777777" w:rsidR="00546AF8" w:rsidRDefault="00546AF8" w:rsidP="00ED453B">
            <w:pPr>
              <w:rPr>
                <w:rFonts w:eastAsia="Calibri" w:cs="Arial"/>
              </w:rPr>
            </w:pPr>
          </w:p>
          <w:p w14:paraId="3783E0FD" w14:textId="474A9171" w:rsidR="00ED453B" w:rsidRDefault="001D3BFC" w:rsidP="00ED453B">
            <w:pPr>
              <w:rPr>
                <w:rFonts w:eastAsia="Calibri" w:cs="Arial"/>
              </w:rPr>
            </w:pPr>
            <w:r>
              <w:rPr>
                <w:rFonts w:eastAsia="Calibri" w:cs="Arial"/>
              </w:rPr>
              <w:t xml:space="preserve">Memory service nursing staff will now pro-actively offer all older adults with a dementia diagnosis a home fire safety visit as well as </w:t>
            </w:r>
            <w:r w:rsidR="00546AF8">
              <w:rPr>
                <w:rFonts w:eastAsia="Calibri" w:cs="Arial"/>
              </w:rPr>
              <w:t>deliver written fire safety advice as provided by fire officers within Motherwell. Having written information allows the person with a cognitive deficit who may be unable to retain advice – an aid memoire for simple fire safety advice.</w:t>
            </w:r>
          </w:p>
          <w:p w14:paraId="595B1330" w14:textId="77777777" w:rsidR="00ED453B" w:rsidRDefault="00ED453B" w:rsidP="00854DAA"/>
          <w:p w14:paraId="0D76B6CA" w14:textId="77777777" w:rsidR="00854DAA" w:rsidRDefault="00546AF8" w:rsidP="00BF6A8D">
            <w:r>
              <w:t xml:space="preserve">CMHT/OP Memory service nurses will attend </w:t>
            </w:r>
            <w:r w:rsidR="005D6AB3">
              <w:t xml:space="preserve">Community </w:t>
            </w:r>
            <w:r>
              <w:t>Fire station (Motherwell) and provide information, support and advice re memory deficit to every ‘Watch’ to inform practice and build relationships and increase confidence in joint working.</w:t>
            </w:r>
          </w:p>
          <w:p w14:paraId="5E44D1E6" w14:textId="4FE4895E" w:rsidR="00BF6A8D" w:rsidRPr="00BF6A8D" w:rsidRDefault="00BF6A8D" w:rsidP="00BF6A8D"/>
        </w:tc>
      </w:tr>
      <w:tr w:rsidR="000F6D42" w14:paraId="09FF5D6D" w14:textId="77777777" w:rsidTr="002F3AAF">
        <w:tc>
          <w:tcPr>
            <w:tcW w:w="11057" w:type="dxa"/>
            <w:shd w:val="clear" w:color="auto" w:fill="E7E6E6" w:themeFill="background2"/>
          </w:tcPr>
          <w:p w14:paraId="46537013" w14:textId="0A5A84C1" w:rsidR="000F6D42" w:rsidRPr="007B6E81" w:rsidRDefault="00BF6A8D" w:rsidP="00FC387A">
            <w:pPr>
              <w:pStyle w:val="ListParagraph"/>
              <w:ind w:left="22"/>
              <w:rPr>
                <w:b/>
                <w:sz w:val="28"/>
              </w:rPr>
            </w:pPr>
            <w:r w:rsidRPr="007B6E81">
              <w:rPr>
                <w:b/>
                <w:sz w:val="28"/>
              </w:rPr>
              <w:t>Successes and Challenges</w:t>
            </w:r>
          </w:p>
        </w:tc>
      </w:tr>
      <w:tr w:rsidR="000F6D42" w14:paraId="740387CD" w14:textId="77777777" w:rsidTr="002F3AAF">
        <w:trPr>
          <w:trHeight w:val="614"/>
        </w:trPr>
        <w:tc>
          <w:tcPr>
            <w:tcW w:w="11057" w:type="dxa"/>
            <w:shd w:val="clear" w:color="auto" w:fill="FFFFFF" w:themeFill="background1"/>
          </w:tcPr>
          <w:p w14:paraId="37B379A1" w14:textId="237F4F51" w:rsidR="00ED453B" w:rsidRDefault="00851F8C" w:rsidP="00FE2B35">
            <w:pPr>
              <w:pStyle w:val="ListParagraph"/>
              <w:ind w:left="22"/>
            </w:pPr>
            <w:r>
              <w:t>This initiative has increased underst</w:t>
            </w:r>
            <w:r w:rsidR="00FE2B35">
              <w:t xml:space="preserve">anding </w:t>
            </w:r>
            <w:r w:rsidR="00DA2212">
              <w:t xml:space="preserve">and knowledge of </w:t>
            </w:r>
            <w:r>
              <w:t>SFRS personnel</w:t>
            </w:r>
            <w:r w:rsidR="00FE2B35">
              <w:t xml:space="preserve"> of those living with dementia</w:t>
            </w:r>
            <w:r>
              <w:t xml:space="preserve">.  </w:t>
            </w:r>
            <w:r w:rsidR="00546AF8" w:rsidRPr="00546AF8">
              <w:t>It provides an opportunity to engage with those with dementia with confidence through partnership engagement and home visits</w:t>
            </w:r>
            <w:r w:rsidR="00546AF8">
              <w:t xml:space="preserve"> –</w:t>
            </w:r>
            <w:r w:rsidR="009459BE">
              <w:t xml:space="preserve"> providing best outcomes for all.</w:t>
            </w:r>
          </w:p>
          <w:p w14:paraId="7B4DD579" w14:textId="77777777" w:rsidR="00ED453B" w:rsidRPr="00851F8C" w:rsidRDefault="00ED453B" w:rsidP="00FE2B35">
            <w:pPr>
              <w:pStyle w:val="ListParagraph"/>
              <w:ind w:left="22"/>
            </w:pPr>
          </w:p>
        </w:tc>
      </w:tr>
      <w:tr w:rsidR="000F6D42" w14:paraId="6213523B" w14:textId="77777777" w:rsidTr="002F3AAF">
        <w:tc>
          <w:tcPr>
            <w:tcW w:w="11057" w:type="dxa"/>
            <w:shd w:val="clear" w:color="auto" w:fill="E7E6E6" w:themeFill="background2"/>
          </w:tcPr>
          <w:p w14:paraId="467DC59F" w14:textId="77777777" w:rsidR="000F6D42" w:rsidRPr="007B6E81" w:rsidRDefault="00AE308C" w:rsidP="00FC387A">
            <w:pPr>
              <w:pStyle w:val="ListParagraph"/>
              <w:ind w:left="22"/>
              <w:rPr>
                <w:b/>
                <w:sz w:val="28"/>
              </w:rPr>
            </w:pPr>
            <w:r>
              <w:rPr>
                <w:b/>
                <w:sz w:val="28"/>
              </w:rPr>
              <w:t>Impact</w:t>
            </w:r>
            <w:r w:rsidR="007B3419">
              <w:rPr>
                <w:b/>
                <w:sz w:val="28"/>
              </w:rPr>
              <w:t>/Change</w:t>
            </w:r>
          </w:p>
        </w:tc>
      </w:tr>
      <w:tr w:rsidR="000F6D42" w14:paraId="266171CD" w14:textId="77777777" w:rsidTr="002F3AAF">
        <w:trPr>
          <w:trHeight w:val="790"/>
        </w:trPr>
        <w:tc>
          <w:tcPr>
            <w:tcW w:w="11057" w:type="dxa"/>
            <w:shd w:val="clear" w:color="auto" w:fill="FFFFFF" w:themeFill="background1"/>
          </w:tcPr>
          <w:p w14:paraId="1F1EC525" w14:textId="66129AAF" w:rsidR="002617F0" w:rsidRDefault="009459BE" w:rsidP="00FC387A">
            <w:pPr>
              <w:pStyle w:val="ListParagraph"/>
              <w:ind w:left="22"/>
              <w:rPr>
                <w:szCs w:val="24"/>
              </w:rPr>
            </w:pPr>
            <w:proofErr w:type="spellStart"/>
            <w:r>
              <w:rPr>
                <w:szCs w:val="24"/>
              </w:rPr>
              <w:lastRenderedPageBreak/>
              <w:t>MHT</w:t>
            </w:r>
            <w:proofErr w:type="spellEnd"/>
            <w:r>
              <w:rPr>
                <w:szCs w:val="24"/>
              </w:rPr>
              <w:t xml:space="preserve">/OP nursing staff have noted that as little as 10% of patients who received a diagnosis of dementia </w:t>
            </w:r>
            <w:r w:rsidR="00B62C65">
              <w:rPr>
                <w:szCs w:val="24"/>
              </w:rPr>
              <w:t>were referred for home fire safety visit prior to commencement of this project – this has increased to 63% within the first year a vast increase in safety outcomes for this vulnerable group.</w:t>
            </w:r>
            <w:r w:rsidR="002617F0">
              <w:rPr>
                <w:szCs w:val="24"/>
              </w:rPr>
              <w:t xml:space="preserve">  </w:t>
            </w:r>
          </w:p>
          <w:p w14:paraId="7A7DD9BB" w14:textId="77777777" w:rsidR="002617F0" w:rsidRDefault="002617F0" w:rsidP="00FC387A">
            <w:pPr>
              <w:pStyle w:val="ListParagraph"/>
              <w:ind w:left="22"/>
              <w:rPr>
                <w:szCs w:val="24"/>
              </w:rPr>
            </w:pPr>
          </w:p>
          <w:p w14:paraId="4916CB1A" w14:textId="77777777" w:rsidR="00DA2212" w:rsidRDefault="00DA2212" w:rsidP="00FC387A">
            <w:pPr>
              <w:pStyle w:val="ListParagraph"/>
              <w:ind w:left="22"/>
              <w:rPr>
                <w:szCs w:val="24"/>
              </w:rPr>
            </w:pPr>
            <w:r>
              <w:rPr>
                <w:szCs w:val="24"/>
              </w:rPr>
              <w:t>The Lead Officer will be carrying out a review of Home Fire Safety Visit referrals to the Memory Service in order to monitor progress</w:t>
            </w:r>
            <w:r w:rsidR="002617F0">
              <w:rPr>
                <w:szCs w:val="24"/>
              </w:rPr>
              <w:t>.</w:t>
            </w:r>
          </w:p>
          <w:p w14:paraId="34E09283" w14:textId="77777777" w:rsidR="00DA2212" w:rsidRPr="007B6E81" w:rsidRDefault="00DA2212" w:rsidP="00FC387A">
            <w:pPr>
              <w:pStyle w:val="ListParagraph"/>
              <w:ind w:left="22"/>
              <w:rPr>
                <w:b/>
              </w:rPr>
            </w:pPr>
          </w:p>
        </w:tc>
      </w:tr>
      <w:tr w:rsidR="00CC3C11" w14:paraId="4EEA26E3" w14:textId="77777777" w:rsidTr="002F3AAF">
        <w:trPr>
          <w:trHeight w:val="329"/>
        </w:trPr>
        <w:tc>
          <w:tcPr>
            <w:tcW w:w="11057" w:type="dxa"/>
            <w:shd w:val="clear" w:color="auto" w:fill="E7E6E6" w:themeFill="background2"/>
          </w:tcPr>
          <w:p w14:paraId="03578085" w14:textId="77777777" w:rsidR="00CC3C11" w:rsidRPr="00BF6A8D" w:rsidRDefault="007B3419" w:rsidP="00FC387A">
            <w:pPr>
              <w:pStyle w:val="ListParagraph"/>
              <w:ind w:left="22"/>
              <w:rPr>
                <w:b/>
                <w:sz w:val="28"/>
                <w:szCs w:val="24"/>
              </w:rPr>
            </w:pPr>
            <w:r w:rsidRPr="00BF6A8D">
              <w:rPr>
                <w:b/>
                <w:sz w:val="28"/>
                <w:szCs w:val="24"/>
              </w:rPr>
              <w:t>Reflections</w:t>
            </w:r>
          </w:p>
        </w:tc>
      </w:tr>
      <w:tr w:rsidR="00CC3C11" w14:paraId="6C3C86D4" w14:textId="77777777" w:rsidTr="002F3AAF">
        <w:trPr>
          <w:trHeight w:val="790"/>
        </w:trPr>
        <w:tc>
          <w:tcPr>
            <w:tcW w:w="11057" w:type="dxa"/>
            <w:shd w:val="clear" w:color="auto" w:fill="FFFFFF" w:themeFill="background1"/>
          </w:tcPr>
          <w:p w14:paraId="2AABC786" w14:textId="4DA3A905" w:rsidR="009459BE" w:rsidRDefault="00707092" w:rsidP="006D7374">
            <w:pPr>
              <w:pStyle w:val="ListParagraph"/>
              <w:ind w:left="22"/>
              <w:rPr>
                <w:szCs w:val="24"/>
              </w:rPr>
            </w:pPr>
            <w:r>
              <w:rPr>
                <w:szCs w:val="24"/>
              </w:rPr>
              <w:t xml:space="preserve">Following review and initial evaluation within Motherwell, the project was presented to NHS Lanarkshire’s older adult clinical governance group for mental health and learning disabilities. This multi-disciplinary group discusses all aspects of care for our older adults within Lanarkshire, and jointly agree upon best practice. The value of the project was recognised and as such NHS practice improvement </w:t>
            </w:r>
            <w:r w:rsidR="009D7232">
              <w:rPr>
                <w:szCs w:val="24"/>
              </w:rPr>
              <w:t>and development staff are working</w:t>
            </w:r>
            <w:r>
              <w:rPr>
                <w:szCs w:val="24"/>
              </w:rPr>
              <w:t xml:space="preserve"> to expand the project throughout all CMHT/OP</w:t>
            </w:r>
            <w:r w:rsidR="009D7232">
              <w:rPr>
                <w:szCs w:val="24"/>
              </w:rPr>
              <w:t xml:space="preserve"> teams</w:t>
            </w:r>
            <w:r>
              <w:rPr>
                <w:szCs w:val="24"/>
              </w:rPr>
              <w:t xml:space="preserve"> within North Lanarkshire, extending to the South Lanarksh</w:t>
            </w:r>
            <w:r w:rsidR="009D7232">
              <w:rPr>
                <w:szCs w:val="24"/>
              </w:rPr>
              <w:t>ire</w:t>
            </w:r>
            <w:r>
              <w:rPr>
                <w:szCs w:val="24"/>
              </w:rPr>
              <w:t xml:space="preserve"> thereafter.</w:t>
            </w:r>
            <w:r w:rsidR="009D7232">
              <w:rPr>
                <w:szCs w:val="24"/>
              </w:rPr>
              <w:t xml:space="preserve"> As such, operational talks are taking place with relevant SFRS personnel to complete rollout, which will commence this summer.</w:t>
            </w:r>
          </w:p>
          <w:p w14:paraId="1A97F48B" w14:textId="77777777" w:rsidR="00BF6A8D" w:rsidRDefault="00BF6A8D" w:rsidP="006D7374">
            <w:pPr>
              <w:pStyle w:val="ListParagraph"/>
              <w:ind w:left="22"/>
              <w:rPr>
                <w:szCs w:val="24"/>
              </w:rPr>
            </w:pPr>
          </w:p>
          <w:p w14:paraId="680F3B0A" w14:textId="77777777" w:rsidR="00DA2212" w:rsidRDefault="009D7232" w:rsidP="00BF6A8D">
            <w:pPr>
              <w:pStyle w:val="ListParagraph"/>
              <w:ind w:left="22"/>
              <w:rPr>
                <w:szCs w:val="24"/>
              </w:rPr>
            </w:pPr>
            <w:r>
              <w:rPr>
                <w:szCs w:val="24"/>
              </w:rPr>
              <w:t>There have been some challenges along the way, with staff personnel changes within both services, however we have managed to keep momentum going and continue to move forward. Both partners feel the benefit of closer collaboration and intend to continue the good work moving forward with the project expansion.</w:t>
            </w:r>
          </w:p>
          <w:p w14:paraId="201F4F93" w14:textId="21522983" w:rsidR="00BF6A8D" w:rsidRPr="009459BE" w:rsidRDefault="00BF6A8D" w:rsidP="00BF6A8D">
            <w:pPr>
              <w:pStyle w:val="ListParagraph"/>
              <w:ind w:left="22"/>
              <w:rPr>
                <w:i/>
                <w:szCs w:val="24"/>
                <w:u w:val="single"/>
              </w:rPr>
            </w:pPr>
          </w:p>
        </w:tc>
      </w:tr>
      <w:tr w:rsidR="000F6D42" w14:paraId="3FDCAD33" w14:textId="77777777" w:rsidTr="002F3AAF">
        <w:tc>
          <w:tcPr>
            <w:tcW w:w="11057" w:type="dxa"/>
            <w:shd w:val="clear" w:color="auto" w:fill="E7E6E6" w:themeFill="background2"/>
          </w:tcPr>
          <w:p w14:paraId="690D5758" w14:textId="77777777" w:rsidR="000F6D42" w:rsidRPr="007B6E81" w:rsidRDefault="000F6D42" w:rsidP="00FC387A">
            <w:pPr>
              <w:pStyle w:val="ListParagraph"/>
              <w:ind w:left="22"/>
              <w:rPr>
                <w:b/>
                <w:sz w:val="28"/>
              </w:rPr>
            </w:pPr>
            <w:r>
              <w:rPr>
                <w:b/>
                <w:sz w:val="28"/>
              </w:rPr>
              <w:t>Additional Information</w:t>
            </w:r>
          </w:p>
        </w:tc>
      </w:tr>
      <w:tr w:rsidR="000F6D42" w14:paraId="4617D23D" w14:textId="77777777" w:rsidTr="002F3AAF">
        <w:trPr>
          <w:trHeight w:val="628"/>
        </w:trPr>
        <w:tc>
          <w:tcPr>
            <w:tcW w:w="11057" w:type="dxa"/>
            <w:shd w:val="clear" w:color="auto" w:fill="FFFFFF" w:themeFill="background1"/>
          </w:tcPr>
          <w:p w14:paraId="723E425A" w14:textId="6896516B" w:rsidR="007F5324" w:rsidRPr="00E6024C" w:rsidRDefault="00E6024C" w:rsidP="00034F10">
            <w:r w:rsidRPr="00E6024C">
              <w:t xml:space="preserve">The </w:t>
            </w:r>
            <w:r w:rsidR="007F5324" w:rsidRPr="00E6024C">
              <w:t>Living Well with Dementia Referral Form</w:t>
            </w:r>
            <w:r>
              <w:t xml:space="preserve"> is available to upon request.  </w:t>
            </w:r>
            <w:bookmarkStart w:id="0" w:name="_GoBack"/>
            <w:bookmarkEnd w:id="0"/>
          </w:p>
          <w:p w14:paraId="59845E05" w14:textId="77777777" w:rsidR="007F5324" w:rsidRPr="00B33C58" w:rsidRDefault="007F5324" w:rsidP="00034F10">
            <w:pPr>
              <w:rPr>
                <w:i/>
              </w:rPr>
            </w:pPr>
          </w:p>
        </w:tc>
      </w:tr>
      <w:tr w:rsidR="000F6D42" w14:paraId="0187A4AB" w14:textId="77777777" w:rsidTr="002F3AAF">
        <w:tc>
          <w:tcPr>
            <w:tcW w:w="11057" w:type="dxa"/>
            <w:shd w:val="clear" w:color="auto" w:fill="E7E6E6" w:themeFill="background2"/>
          </w:tcPr>
          <w:p w14:paraId="1AE941A2" w14:textId="77777777" w:rsidR="000F6D42" w:rsidRPr="007B6E81" w:rsidRDefault="000F6D42" w:rsidP="00FC387A">
            <w:pPr>
              <w:pStyle w:val="ListParagraph"/>
              <w:ind w:left="22"/>
              <w:rPr>
                <w:b/>
                <w:sz w:val="28"/>
              </w:rPr>
            </w:pPr>
            <w:r>
              <w:rPr>
                <w:b/>
                <w:sz w:val="28"/>
              </w:rPr>
              <w:t>Author and Contact Details</w:t>
            </w:r>
          </w:p>
        </w:tc>
      </w:tr>
      <w:tr w:rsidR="000F6D42" w14:paraId="3C782BFD" w14:textId="77777777" w:rsidTr="002F3AAF">
        <w:trPr>
          <w:trHeight w:val="678"/>
        </w:trPr>
        <w:tc>
          <w:tcPr>
            <w:tcW w:w="11057" w:type="dxa"/>
            <w:shd w:val="clear" w:color="auto" w:fill="FFFFFF" w:themeFill="background1"/>
          </w:tcPr>
          <w:p w14:paraId="7FF7322B" w14:textId="16B9B892" w:rsidR="00036342" w:rsidRDefault="00DA2212" w:rsidP="00FC387A">
            <w:pPr>
              <w:pStyle w:val="ListParagraph"/>
              <w:ind w:left="22"/>
            </w:pPr>
            <w:r>
              <w:t xml:space="preserve">Group Manager Martyn </w:t>
            </w:r>
            <w:proofErr w:type="spellStart"/>
            <w:r>
              <w:t>Brandrick</w:t>
            </w:r>
            <w:proofErr w:type="spellEnd"/>
            <w:r>
              <w:t xml:space="preserve"> </w:t>
            </w:r>
            <w:hyperlink r:id="rId6" w:history="1">
              <w:r w:rsidRPr="00A43AA0">
                <w:rPr>
                  <w:rStyle w:val="Hyperlink"/>
                </w:rPr>
                <w:t>martyn.brandrick@firescotland.gov.uk</w:t>
              </w:r>
            </w:hyperlink>
          </w:p>
          <w:p w14:paraId="24506D27" w14:textId="57D89887" w:rsidR="00DA2212" w:rsidRPr="00DA2212" w:rsidRDefault="00036342" w:rsidP="00FC387A">
            <w:pPr>
              <w:pStyle w:val="ListParagraph"/>
              <w:ind w:left="22"/>
            </w:pPr>
            <w:r>
              <w:t xml:space="preserve">Community Nurse Hazel Boyle </w:t>
            </w:r>
            <w:hyperlink r:id="rId7" w:history="1">
              <w:r w:rsidRPr="00A43AA0">
                <w:rPr>
                  <w:rStyle w:val="Hyperlink"/>
                </w:rPr>
                <w:t>hazel.boyle@lanarkshire.scot.nhs.uk</w:t>
              </w:r>
            </w:hyperlink>
          </w:p>
        </w:tc>
      </w:tr>
    </w:tbl>
    <w:p w14:paraId="693C52F0" w14:textId="77777777" w:rsidR="000F6D42" w:rsidRPr="009B7615" w:rsidRDefault="000F6D42" w:rsidP="000F6D42">
      <w:pPr>
        <w:jc w:val="both"/>
      </w:pPr>
    </w:p>
    <w:p w14:paraId="4A46ACB6"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206B7D"/>
    <w:multiLevelType w:val="hybridMultilevel"/>
    <w:tmpl w:val="54084BA2"/>
    <w:lvl w:ilvl="0" w:tplc="BE82103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64D34"/>
    <w:multiLevelType w:val="hybridMultilevel"/>
    <w:tmpl w:val="4E3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60B64"/>
    <w:multiLevelType w:val="hybridMultilevel"/>
    <w:tmpl w:val="7DF0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6"/>
  </w:num>
  <w:num w:numId="8">
    <w:abstractNumId w:val="3"/>
  </w:num>
  <w:num w:numId="9">
    <w:abstractNumId w:val="2"/>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34F10"/>
    <w:rsid w:val="00036342"/>
    <w:rsid w:val="00051017"/>
    <w:rsid w:val="00053FA0"/>
    <w:rsid w:val="00062A40"/>
    <w:rsid w:val="00096DEB"/>
    <w:rsid w:val="000A73DE"/>
    <w:rsid w:val="000C0CF4"/>
    <w:rsid w:val="000D49E4"/>
    <w:rsid w:val="000F4D3A"/>
    <w:rsid w:val="000F6D42"/>
    <w:rsid w:val="00107B48"/>
    <w:rsid w:val="00160DEB"/>
    <w:rsid w:val="00177B79"/>
    <w:rsid w:val="0019352B"/>
    <w:rsid w:val="001D3BFC"/>
    <w:rsid w:val="001E7DA6"/>
    <w:rsid w:val="002106FD"/>
    <w:rsid w:val="002617F0"/>
    <w:rsid w:val="00271112"/>
    <w:rsid w:val="00281579"/>
    <w:rsid w:val="002B27A5"/>
    <w:rsid w:val="002F3AAF"/>
    <w:rsid w:val="00306C61"/>
    <w:rsid w:val="00314CE1"/>
    <w:rsid w:val="00324CB4"/>
    <w:rsid w:val="00344AD0"/>
    <w:rsid w:val="0037582B"/>
    <w:rsid w:val="003A21E6"/>
    <w:rsid w:val="003F4AFD"/>
    <w:rsid w:val="00415BBE"/>
    <w:rsid w:val="00467C30"/>
    <w:rsid w:val="00490458"/>
    <w:rsid w:val="00510146"/>
    <w:rsid w:val="00546AF8"/>
    <w:rsid w:val="00594F5D"/>
    <w:rsid w:val="005D1353"/>
    <w:rsid w:val="005D6AB3"/>
    <w:rsid w:val="005E44AB"/>
    <w:rsid w:val="005E595B"/>
    <w:rsid w:val="005F33B3"/>
    <w:rsid w:val="00606BB7"/>
    <w:rsid w:val="00664E2A"/>
    <w:rsid w:val="00673001"/>
    <w:rsid w:val="006D2640"/>
    <w:rsid w:val="006D7374"/>
    <w:rsid w:val="006E6703"/>
    <w:rsid w:val="00707092"/>
    <w:rsid w:val="00726F71"/>
    <w:rsid w:val="00784E61"/>
    <w:rsid w:val="007B11A4"/>
    <w:rsid w:val="007B3419"/>
    <w:rsid w:val="007F5324"/>
    <w:rsid w:val="00806244"/>
    <w:rsid w:val="008071CA"/>
    <w:rsid w:val="00807D94"/>
    <w:rsid w:val="00851F8C"/>
    <w:rsid w:val="00854DAA"/>
    <w:rsid w:val="00857548"/>
    <w:rsid w:val="00860F2B"/>
    <w:rsid w:val="0088002A"/>
    <w:rsid w:val="0088259A"/>
    <w:rsid w:val="008B53ED"/>
    <w:rsid w:val="008E61B8"/>
    <w:rsid w:val="008E7B55"/>
    <w:rsid w:val="008F64E2"/>
    <w:rsid w:val="009459BE"/>
    <w:rsid w:val="009B7615"/>
    <w:rsid w:val="009D7232"/>
    <w:rsid w:val="009F64A6"/>
    <w:rsid w:val="00AA1B10"/>
    <w:rsid w:val="00AA35B4"/>
    <w:rsid w:val="00AE308C"/>
    <w:rsid w:val="00AF760A"/>
    <w:rsid w:val="00B12E2A"/>
    <w:rsid w:val="00B25D2F"/>
    <w:rsid w:val="00B33C58"/>
    <w:rsid w:val="00B414C3"/>
    <w:rsid w:val="00B51BDC"/>
    <w:rsid w:val="00B561C0"/>
    <w:rsid w:val="00B62C65"/>
    <w:rsid w:val="00B773CE"/>
    <w:rsid w:val="00BB3AF6"/>
    <w:rsid w:val="00BF6A8D"/>
    <w:rsid w:val="00C14877"/>
    <w:rsid w:val="00C91823"/>
    <w:rsid w:val="00CA5845"/>
    <w:rsid w:val="00CC3C11"/>
    <w:rsid w:val="00D008AB"/>
    <w:rsid w:val="00D558FD"/>
    <w:rsid w:val="00D9471A"/>
    <w:rsid w:val="00DA2212"/>
    <w:rsid w:val="00DA3460"/>
    <w:rsid w:val="00DA558D"/>
    <w:rsid w:val="00DF7A91"/>
    <w:rsid w:val="00E23A43"/>
    <w:rsid w:val="00E23D8B"/>
    <w:rsid w:val="00E26702"/>
    <w:rsid w:val="00E273C6"/>
    <w:rsid w:val="00E6024C"/>
    <w:rsid w:val="00E87E82"/>
    <w:rsid w:val="00EA79DA"/>
    <w:rsid w:val="00EB3CF9"/>
    <w:rsid w:val="00ED453B"/>
    <w:rsid w:val="00ED5A54"/>
    <w:rsid w:val="00F908F9"/>
    <w:rsid w:val="00F91699"/>
    <w:rsid w:val="00F95806"/>
    <w:rsid w:val="00FA4BC1"/>
    <w:rsid w:val="00FB23C1"/>
    <w:rsid w:val="00FE2B35"/>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F267"/>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DA2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zel.boyle@lanarkshire.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yn.brandrick@firescotland.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4</cp:revision>
  <cp:lastPrinted>2019-05-29T11:31:00Z</cp:lastPrinted>
  <dcterms:created xsi:type="dcterms:W3CDTF">2019-06-03T11:16:00Z</dcterms:created>
  <dcterms:modified xsi:type="dcterms:W3CDTF">2019-06-03T11:31:00Z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